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2772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3125"/>
        <w:gridCol w:w="2385"/>
        <w:gridCol w:w="1065"/>
        <w:gridCol w:w="891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授课内容</w:t>
            </w:r>
          </w:p>
        </w:tc>
        <w:tc>
          <w:tcPr>
            <w:tcW w:w="3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eastAsia="zh-CN"/>
              </w:rPr>
              <w:t>授课教师</w:t>
            </w:r>
          </w:p>
        </w:tc>
        <w:tc>
          <w:tcPr>
            <w:tcW w:w="28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6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center"/>
              <w:rPr>
                <w:rFonts w:hint="eastAsia" w:ascii="仿宋" w:hAnsi="仿宋" w:eastAsia="仿宋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8"/>
                <w:szCs w:val="28"/>
              </w:rPr>
              <w:t>评分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28"/>
                <w:szCs w:val="28"/>
                <w:lang w:eastAsia="zh-CN"/>
              </w:rPr>
              <w:t>要点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分值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教学设计</w:t>
            </w:r>
          </w:p>
        </w:tc>
        <w:tc>
          <w:tcPr>
            <w:tcW w:w="6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spacing w:line="360" w:lineRule="exact"/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紧密围绕立德树人根本任务，体现课程思政要求；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符合教学大纲，内容充实，能反映学科前沿；</w:t>
            </w:r>
          </w:p>
          <w:p>
            <w:pPr>
              <w:spacing w:line="360" w:lineRule="exac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.课程信息完整、清楚；</w:t>
            </w:r>
          </w:p>
          <w:p>
            <w:pPr>
              <w:spacing w:line="360" w:lineRule="exac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.教学目标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明确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、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思路清晰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；</w:t>
            </w:r>
          </w:p>
          <w:p>
            <w:pPr>
              <w:spacing w:line="360" w:lineRule="exac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.教学内容安排合理、层次分明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、能准确把握教学重难点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；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.教学过程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设计科学、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合理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方法运用恰当、有效；</w:t>
            </w:r>
          </w:p>
          <w:p>
            <w:pPr>
              <w:spacing w:line="360" w:lineRule="exact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7.教学评价、教学反思实事求是、思路清晰、观点明确、针对性强；</w:t>
            </w:r>
          </w:p>
          <w:p>
            <w:pPr>
              <w:spacing w:line="360" w:lineRule="exac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.文字表达准确、阐述清楚。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课堂教学</w:t>
            </w:r>
          </w:p>
        </w:tc>
        <w:tc>
          <w:tcPr>
            <w:tcW w:w="6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hint="default" w:ascii="仿宋" w:hAnsi="仿宋" w:eastAsia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1.能贯彻立德树人教育教学理念，突出课程思政；</w:t>
            </w:r>
          </w:p>
          <w:p>
            <w:pPr>
              <w:spacing w:line="360" w:lineRule="exac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.仪态端庄，精神饱满，富有激情；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3.注重以学生为中心教学思想，体现教师主导、学生主体；</w:t>
            </w:r>
          </w:p>
          <w:p>
            <w:pPr>
              <w:spacing w:line="360" w:lineRule="exac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.注重师生互动，能有效调动学生积极主动思考；</w:t>
            </w:r>
          </w:p>
          <w:p>
            <w:pPr>
              <w:spacing w:line="360" w:lineRule="exac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.注重启发式教学，及时发现问题，并开展针对性的教学活动；</w:t>
            </w:r>
          </w:p>
          <w:p>
            <w:pPr>
              <w:spacing w:line="360" w:lineRule="exact"/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合理</w:t>
            </w: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eastAsia="zh-CN"/>
              </w:rPr>
              <w:t>有效</w:t>
            </w: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运用</w:t>
            </w: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eastAsia="zh-CN"/>
              </w:rPr>
              <w:t>多媒体技术辅助教学</w:t>
            </w: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</w:rPr>
              <w:t>；</w:t>
            </w:r>
          </w:p>
          <w:p>
            <w:pPr>
              <w:spacing w:line="360" w:lineRule="exact"/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8"/>
                <w:szCs w:val="28"/>
                <w:lang w:val="en-US" w:eastAsia="zh-CN"/>
              </w:rPr>
              <w:t>7.板书简洁、有序、美观，与教学内容紧密结合；</w:t>
            </w:r>
          </w:p>
          <w:p>
            <w:pPr>
              <w:spacing w:line="360" w:lineRule="exact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课堂讲授富有吸引力，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应变能力强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学生参与度高，教学效果好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；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val="en-US" w:eastAsia="zh-CN"/>
              </w:rPr>
              <w:t>9.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语言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生动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，表述清晰准确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lang w:eastAsia="zh-CN"/>
              </w:rPr>
              <w:t>。</w:t>
            </w:r>
          </w:p>
          <w:p>
            <w:pPr>
              <w:spacing w:line="360" w:lineRule="exact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70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总分</w:t>
            </w:r>
          </w:p>
        </w:tc>
        <w:tc>
          <w:tcPr>
            <w:tcW w:w="6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100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  <w:t>评委签名</w:t>
            </w:r>
          </w:p>
        </w:tc>
        <w:tc>
          <w:tcPr>
            <w:tcW w:w="83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jc w:val="center"/>
        <w:rPr>
          <w:rFonts w:hint="eastAsia" w:ascii="仿宋" w:hAnsi="仿宋" w:eastAsia="仿宋" w:cstheme="minorBidi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theme="minorBidi"/>
          <w:b/>
          <w:bCs/>
          <w:sz w:val="36"/>
          <w:szCs w:val="36"/>
          <w:lang w:eastAsia="zh-CN"/>
        </w:rPr>
        <w:t>南通大学杏林学院</w:t>
      </w:r>
      <w:r>
        <w:rPr>
          <w:rFonts w:hint="eastAsia" w:ascii="仿宋" w:hAnsi="仿宋" w:eastAsia="仿宋" w:cstheme="minorBidi"/>
          <w:b/>
          <w:bCs/>
          <w:sz w:val="36"/>
          <w:szCs w:val="36"/>
          <w:lang w:val="en-US" w:eastAsia="zh-CN"/>
        </w:rPr>
        <w:t>课程</w:t>
      </w:r>
      <w:r>
        <w:rPr>
          <w:rFonts w:hint="eastAsia" w:ascii="仿宋" w:hAnsi="仿宋" w:eastAsia="仿宋" w:cstheme="minorBidi"/>
          <w:b/>
          <w:bCs/>
          <w:sz w:val="36"/>
          <w:szCs w:val="36"/>
          <w:lang w:eastAsia="zh-CN"/>
        </w:rPr>
        <w:t>思政公开课</w:t>
      </w:r>
      <w:r>
        <w:rPr>
          <w:rFonts w:hint="eastAsia" w:ascii="仿宋" w:hAnsi="仿宋" w:eastAsia="仿宋" w:cstheme="minorBidi"/>
          <w:b/>
          <w:bCs/>
          <w:sz w:val="36"/>
          <w:szCs w:val="36"/>
        </w:rPr>
        <w:t>评分</w:t>
      </w:r>
      <w:r>
        <w:rPr>
          <w:rFonts w:hint="eastAsia" w:ascii="仿宋" w:hAnsi="仿宋" w:eastAsia="仿宋" w:cstheme="minorBidi"/>
          <w:b/>
          <w:bCs/>
          <w:sz w:val="36"/>
          <w:szCs w:val="36"/>
          <w:lang w:eastAsia="zh-CN"/>
        </w:rPr>
        <w:t>表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theme="minorBidi"/>
          <w:b/>
          <w:bCs/>
          <w:szCs w:val="32"/>
        </w:rPr>
      </w:pPr>
    </w:p>
    <w:p>
      <w:pPr>
        <w:jc w:val="both"/>
        <w:rPr>
          <w:rFonts w:hint="eastAsia" w:ascii="仿宋" w:hAnsi="仿宋" w:eastAsia="仿宋" w:cstheme="minorBidi"/>
          <w:b/>
          <w:bCs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9AF19F"/>
    <w:multiLevelType w:val="singleLevel"/>
    <w:tmpl w:val="FC9AF1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Q5NmEwN2VmMWJmNDcyMWM3OGUyMGM2NDkxNTI4NTQifQ=="/>
  </w:docVars>
  <w:rsids>
    <w:rsidRoot w:val="00D013F2"/>
    <w:rsid w:val="000A415F"/>
    <w:rsid w:val="00232F4B"/>
    <w:rsid w:val="00286DC8"/>
    <w:rsid w:val="002A056C"/>
    <w:rsid w:val="00316512"/>
    <w:rsid w:val="003C57BB"/>
    <w:rsid w:val="006444D5"/>
    <w:rsid w:val="00702404"/>
    <w:rsid w:val="00726064"/>
    <w:rsid w:val="00794021"/>
    <w:rsid w:val="007F6AEA"/>
    <w:rsid w:val="00821630"/>
    <w:rsid w:val="009725A0"/>
    <w:rsid w:val="0099575B"/>
    <w:rsid w:val="00A5734C"/>
    <w:rsid w:val="00B92D9B"/>
    <w:rsid w:val="00C405CD"/>
    <w:rsid w:val="00C928D0"/>
    <w:rsid w:val="00D013F2"/>
    <w:rsid w:val="00D3251C"/>
    <w:rsid w:val="00F07698"/>
    <w:rsid w:val="1B7A38F9"/>
    <w:rsid w:val="20BD5DB3"/>
    <w:rsid w:val="26486035"/>
    <w:rsid w:val="2C8D2182"/>
    <w:rsid w:val="31E45D04"/>
    <w:rsid w:val="34ED01F5"/>
    <w:rsid w:val="3B6F10E3"/>
    <w:rsid w:val="3BDB28C0"/>
    <w:rsid w:val="3E126D49"/>
    <w:rsid w:val="403F6AA3"/>
    <w:rsid w:val="44DC5DA6"/>
    <w:rsid w:val="4B1853DE"/>
    <w:rsid w:val="51BC4136"/>
    <w:rsid w:val="55890B58"/>
    <w:rsid w:val="6DB352EB"/>
    <w:rsid w:val="74D848AC"/>
    <w:rsid w:val="766E2A36"/>
    <w:rsid w:val="7D4202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