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720" w:firstLineChars="200"/>
        <w:jc w:val="center"/>
        <w:rPr>
          <w:rFonts w:asciiTheme="majorEastAsia" w:hAnsiTheme="majorEastAsia" w:eastAsiaTheme="majorEastAsia" w:cstheme="majorEastAsia"/>
          <w:sz w:val="36"/>
          <w:szCs w:val="36"/>
        </w:rPr>
      </w:pPr>
      <w:bookmarkStart w:id="0" w:name="_GoBack"/>
      <w:bookmarkEnd w:id="0"/>
      <w:r>
        <w:rPr>
          <w:rFonts w:hint="eastAsia" w:asciiTheme="majorEastAsia" w:hAnsiTheme="majorEastAsia" w:eastAsiaTheme="majorEastAsia" w:cstheme="majorEastAsia"/>
          <w:sz w:val="36"/>
          <w:szCs w:val="36"/>
        </w:rPr>
        <w:t>南通大学杏林学院关于深化“课程思政”建设</w:t>
      </w:r>
    </w:p>
    <w:p>
      <w:pPr>
        <w:spacing w:line="580" w:lineRule="exact"/>
        <w:ind w:firstLine="720" w:firstLineChars="200"/>
        <w:jc w:val="center"/>
        <w:rPr>
          <w:rFonts w:asciiTheme="majorEastAsia" w:hAnsiTheme="majorEastAsia" w:eastAsiaTheme="majorEastAsia" w:cstheme="majorEastAsia"/>
          <w:sz w:val="36"/>
          <w:szCs w:val="36"/>
        </w:rPr>
      </w:pPr>
      <w:r>
        <w:rPr>
          <w:rFonts w:hint="eastAsia" w:asciiTheme="majorEastAsia" w:hAnsiTheme="majorEastAsia" w:eastAsiaTheme="majorEastAsia" w:cstheme="majorEastAsia"/>
          <w:sz w:val="36"/>
          <w:szCs w:val="36"/>
        </w:rPr>
        <w:t>落实立德树人根本任务的实施意见</w:t>
      </w:r>
    </w:p>
    <w:p>
      <w:pPr>
        <w:spacing w:line="580" w:lineRule="exact"/>
        <w:ind w:firstLine="720" w:firstLineChars="200"/>
        <w:jc w:val="center"/>
        <w:rPr>
          <w:rFonts w:asciiTheme="majorEastAsia" w:hAnsiTheme="majorEastAsia" w:eastAsiaTheme="majorEastAsia" w:cstheme="majorEastAsia"/>
          <w:sz w:val="36"/>
          <w:szCs w:val="36"/>
        </w:rPr>
      </w:pP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全面贯彻全国、全省教育大会精神和习近平总书记在学校思想政治理论课教师座谈会上的重要讲话精神，进一步落实全国、全省高校思想政治工作会议精神，发挥专业课程与综合素质课程的育人效用，推进学校“课程思政”教学改革，提升“课程思政”育人实效，构建全课程育人体系，结合学</w:t>
      </w:r>
      <w:r>
        <w:rPr>
          <w:rFonts w:hint="eastAsia" w:ascii="仿宋_GB2312" w:hAnsi="仿宋_GB2312" w:eastAsia="仿宋_GB2312" w:cs="仿宋_GB2312"/>
          <w:sz w:val="32"/>
          <w:szCs w:val="32"/>
          <w:lang w:val="en-US"/>
        </w:rPr>
        <w:t>院</w:t>
      </w:r>
      <w:r>
        <w:rPr>
          <w:rFonts w:hint="eastAsia" w:ascii="仿宋_GB2312" w:hAnsi="仿宋_GB2312" w:eastAsia="仿宋_GB2312" w:cs="仿宋_GB2312"/>
          <w:sz w:val="32"/>
          <w:szCs w:val="32"/>
        </w:rPr>
        <w:t>实际，制定本实施意见。</w:t>
      </w:r>
    </w:p>
    <w:p>
      <w:pPr>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一、指导思想和基本原则</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指导思想。高举中国特色社会主义伟大旗帜，以习近平新时代中国特色社会主义思想为指导，坚持社会主义办学方向，落实立德树人根本任务，充分发挥思想政治理论课主渠道作用，不断提高通识课程、专业课程教育教学环节育人功能，构建与思想政治理论课同向同行的育人课程体系，形成各类各门课程协同育人的良好格局，推动知识传授、能力培养与理想信念、价值理念、道德观念教育有机结合，着力培养德智体美劳全面发展的社会主义建设者和接班人。</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（二）基本原则。充分发挥思想政治理论课主渠道作用，坚持显性教育与隐性教育相结合，坚持价值引领与知识传授相结合，构建“专业育人、课程育人和课堂育人”相统一的“课程思政”育人体系。</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遵循教育规律。结合学院办学实际，遵循大学生身心发展 规律和教学基本规律，精心设计课程，认真组织教学，促进课程 建设的科学性、系统性、高效性。</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落实主体责任。通过教育引导、制度规范、考核激励等措施促进教师转变教育教学理念，提升教师“课程思政”意识，激发教师课程教学改革热情，切实承担起“课程思政”工作的主体责任。</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突出时代特色。加强课程思政</w:t>
      </w:r>
      <w:r>
        <w:rPr>
          <w:rFonts w:hint="eastAsia" w:ascii="仿宋_GB2312" w:hAnsi="仿宋_GB2312" w:eastAsia="仿宋_GB2312" w:cs="仿宋_GB2312"/>
          <w:sz w:val="32"/>
          <w:szCs w:val="32"/>
          <w:lang w:val="en-US"/>
        </w:rPr>
        <w:t>线上线下混合式</w:t>
      </w:r>
      <w:r>
        <w:rPr>
          <w:rFonts w:hint="eastAsia" w:ascii="仿宋_GB2312" w:hAnsi="仿宋_GB2312" w:eastAsia="仿宋_GB2312" w:cs="仿宋_GB2312"/>
          <w:sz w:val="32"/>
          <w:szCs w:val="32"/>
        </w:rPr>
        <w:t>教学改革，做到思政教育接地气、有成效。</w:t>
      </w:r>
    </w:p>
    <w:p>
      <w:pPr>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二、工作目标</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（一）总体目标</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坚持以立德树人为根本，强化以优良的师德师风引领优良的学风，深入挖掘提炼各类课程所蕴含的思政元素和德育功能，实现课程教学知识传授、能力培养、素质提升与价值引领相统一,  实现思想政治理论课、通识课程和专业课程的价值教育全覆盖，形成具有本院特色的“课程思政”教育体系，实现“课课有思政”的良好氛围，提升学</w:t>
      </w:r>
      <w:r>
        <w:rPr>
          <w:rFonts w:hint="eastAsia" w:ascii="仿宋_GB2312" w:hAnsi="仿宋_GB2312" w:eastAsia="仿宋_GB2312" w:cs="仿宋_GB2312"/>
          <w:sz w:val="32"/>
          <w:szCs w:val="32"/>
          <w:lang w:val="en-US"/>
        </w:rPr>
        <w:t>院</w:t>
      </w:r>
      <w:r>
        <w:rPr>
          <w:rFonts w:hint="eastAsia" w:ascii="仿宋_GB2312" w:hAnsi="仿宋_GB2312" w:eastAsia="仿宋_GB2312" w:cs="仿宋_GB2312"/>
          <w:sz w:val="32"/>
          <w:szCs w:val="32"/>
        </w:rPr>
        <w:t>人才培养能力。</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（二）具体目标</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自 2020 年起，启动“课程思政”示范课程建设、优秀教学案例评选和“课程思政”授课比赛等系列活动。通过立项建设，至2023年建成 </w:t>
      </w:r>
      <w:r>
        <w:rPr>
          <w:rFonts w:hint="eastAsia" w:ascii="仿宋_GB2312" w:hAnsi="仿宋_GB2312" w:eastAsia="仿宋_GB2312" w:cs="仿宋_GB2312"/>
          <w:sz w:val="32"/>
          <w:szCs w:val="32"/>
          <w:lang w:val="en-US"/>
        </w:rPr>
        <w:t>30</w:t>
      </w:r>
      <w:r>
        <w:rPr>
          <w:rFonts w:hint="eastAsia" w:ascii="仿宋_GB2312" w:hAnsi="仿宋_GB2312" w:eastAsia="仿宋_GB2312" w:cs="仿宋_GB2312"/>
          <w:sz w:val="32"/>
          <w:szCs w:val="32"/>
        </w:rPr>
        <w:t>门左右“课程思政”示范课程，实现“课程思政”教学改革对所有课程的全覆盖，形成“课程思政”教育教学评价体系。</w:t>
      </w:r>
    </w:p>
    <w:p>
      <w:pPr>
        <w:spacing w:line="580" w:lineRule="exact"/>
        <w:ind w:firstLine="643" w:firstLineChars="200"/>
        <w:rPr>
          <w:rFonts w:ascii="仿宋_GB2312" w:hAnsi="仿宋_GB2312" w:eastAsia="仿宋_GB2312" w:cs="仿宋_GB2312"/>
          <w:b/>
          <w:bCs/>
          <w:sz w:val="32"/>
          <w:szCs w:val="32"/>
        </w:rPr>
      </w:pPr>
    </w:p>
    <w:p>
      <w:pPr>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三、实施内容</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（一）推进思政课程建设</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依托南通大学马克思主义学院优质资源，推进思政课程建设</w:t>
      </w:r>
      <w:r>
        <w:rPr>
          <w:rFonts w:hint="eastAsia" w:ascii="仿宋_GB2312" w:hAnsi="仿宋_GB2312" w:eastAsia="仿宋_GB2312" w:cs="仿宋_GB2312"/>
          <w:sz w:val="32"/>
          <w:szCs w:val="32"/>
        </w:rPr>
        <w:t>；在师资队伍建设上优先</w:t>
      </w:r>
      <w:r>
        <w:rPr>
          <w:rFonts w:hint="eastAsia" w:ascii="仿宋_GB2312" w:hAnsi="仿宋_GB2312" w:eastAsia="仿宋_GB2312" w:cs="仿宋_GB2312"/>
          <w:sz w:val="32"/>
          <w:szCs w:val="32"/>
          <w:lang w:val="en-US"/>
        </w:rPr>
        <w:t>保障</w:t>
      </w:r>
      <w:r>
        <w:rPr>
          <w:rFonts w:hint="eastAsia" w:ascii="仿宋_GB2312" w:hAnsi="仿宋_GB2312" w:eastAsia="仿宋_GB2312" w:cs="仿宋_GB2312"/>
          <w:sz w:val="32"/>
          <w:szCs w:val="32"/>
        </w:rPr>
        <w:t>专任思政课教师队伍建设；在教学科研系列高级职称岗位比例控制标准上给予倾斜；建立健全经费投入机制。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（责任部门：</w:t>
      </w:r>
      <w:r>
        <w:rPr>
          <w:rFonts w:hint="eastAsia" w:ascii="仿宋_GB2312" w:hAnsi="仿宋_GB2312" w:eastAsia="仿宋_GB2312" w:cs="仿宋_GB2312"/>
          <w:sz w:val="32"/>
          <w:szCs w:val="32"/>
          <w:lang w:val="en-US"/>
        </w:rPr>
        <w:t>党群工作处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办公室、</w:t>
      </w:r>
      <w:r>
        <w:rPr>
          <w:rFonts w:hint="eastAsia" w:ascii="仿宋_GB2312" w:hAnsi="仿宋_GB2312" w:eastAsia="仿宋_GB2312" w:cs="仿宋_GB2312"/>
          <w:sz w:val="32"/>
          <w:szCs w:val="32"/>
        </w:rPr>
        <w:t>财务处、</w:t>
      </w:r>
      <w:r>
        <w:rPr>
          <w:rFonts w:hint="eastAsia" w:ascii="仿宋_GB2312" w:hAnsi="仿宋_GB2312" w:eastAsia="仿宋_GB2312" w:cs="仿宋_GB2312"/>
          <w:sz w:val="32"/>
          <w:szCs w:val="32"/>
          <w:lang w:val="en-US"/>
        </w:rPr>
        <w:t>人文思政与艺术体育部</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（二）深化“课程育人”改革和“课堂育人”改革</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实施“课程思政”示范课（2020-202</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 xml:space="preserve">）建设规划。每年在全院范围内开展“课程思政”示范课建设，建成 </w:t>
      </w:r>
      <w:r>
        <w:rPr>
          <w:rFonts w:hint="eastAsia" w:ascii="仿宋_GB2312" w:hAnsi="仿宋_GB2312" w:eastAsia="仿宋_GB2312" w:cs="仿宋_GB2312"/>
          <w:sz w:val="32"/>
          <w:szCs w:val="32"/>
          <w:lang w:val="en-US"/>
        </w:rPr>
        <w:t>30</w:t>
      </w:r>
      <w:r>
        <w:rPr>
          <w:rFonts w:hint="eastAsia" w:ascii="仿宋_GB2312" w:hAnsi="仿宋_GB2312" w:eastAsia="仿宋_GB2312" w:cs="仿宋_GB2312"/>
          <w:sz w:val="32"/>
          <w:szCs w:val="32"/>
        </w:rPr>
        <w:t xml:space="preserve"> 门左右“课程思政”示范课，做到学科专业全覆盖，课程育人有亮点，形成“课程思政”示范课案例库，在全院教师教学中推广应用。各学部每年遴选</w:t>
      </w: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5</w:t>
      </w:r>
      <w:r>
        <w:rPr>
          <w:rFonts w:hint="eastAsia" w:ascii="仿宋_GB2312" w:hAnsi="仿宋_GB2312" w:eastAsia="仿宋_GB2312" w:cs="仿宋_GB2312"/>
          <w:sz w:val="32"/>
          <w:szCs w:val="32"/>
        </w:rPr>
        <w:t>门课程进行建设，每门课程组成员不少于 2 人；开展课程建设经验交流、观摩、示范、推广，并进行表彰奖励；将“课程思政”示范课程建设项目等同于教改项目、教学成果等，作为教师职称晋升重要条件，完善“课程思政”工作制度保障。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（责任部门：教务处、</w:t>
      </w:r>
      <w:r>
        <w:rPr>
          <w:rFonts w:hint="eastAsia" w:ascii="仿宋_GB2312" w:hAnsi="仿宋_GB2312" w:eastAsia="仿宋_GB2312" w:cs="仿宋_GB2312"/>
          <w:sz w:val="32"/>
          <w:szCs w:val="32"/>
          <w:lang w:val="en-US"/>
        </w:rPr>
        <w:t>党群工作处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办公室</w:t>
      </w:r>
      <w:r>
        <w:rPr>
          <w:rFonts w:hint="eastAsia" w:ascii="仿宋_GB2312" w:hAnsi="仿宋_GB2312" w:eastAsia="仿宋_GB2312" w:cs="仿宋_GB2312"/>
          <w:sz w:val="32"/>
          <w:szCs w:val="32"/>
        </w:rPr>
        <w:t>、各学</w:t>
      </w:r>
      <w:r>
        <w:rPr>
          <w:rFonts w:hint="eastAsia" w:ascii="仿宋_GB2312" w:hAnsi="仿宋_GB2312" w:eastAsia="仿宋_GB2312" w:cs="仿宋_GB2312"/>
          <w:sz w:val="32"/>
          <w:szCs w:val="32"/>
          <w:lang w:val="en-US"/>
        </w:rPr>
        <w:t>部</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深化“课程育人”教学改革。注重将思想价值引领贯穿于教学大纲、教学设计、教学评价等主要教学环节中。在课程教学过程中，注重将价值导向与知识传授相融合，明确“课程思政”教学目标；在知识传授、能力培养中，弘扬社会主义核心价值观，传播爱党爱国正能量，把实现民族复兴的伟大理想和责任融入各类课程教学之中；增强公共选修课课程育人功能，突出体现马克思主义中国化的最新理论成果，重视价值引导和优秀传统文化的传承弘扬，注重把马克思主义立场、观点和方法贯穿渗透到课程教学中，注重把爱国主义、民族情怀贯穿渗透到课程教学中，引导学生自觉弘扬和践行社会主义核心价值观，不断增强“四个自信”。充分发挥智慧教学的作用，鼓励教师在智慧教学平台进行课程教学，在教学中充分运用现代信息技术手段丰富课堂教学形式，提升课堂育人水平。做好课堂教学过程中“课程思政”知识点教学案例记录，每年组织开展“课程思政”优秀教学案例评选活动。</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（责任部门：教务处、各学</w:t>
      </w:r>
      <w:r>
        <w:rPr>
          <w:rFonts w:hint="eastAsia" w:ascii="仿宋_GB2312" w:hAnsi="仿宋_GB2312" w:eastAsia="仿宋_GB2312" w:cs="仿宋_GB2312"/>
          <w:sz w:val="32"/>
          <w:szCs w:val="32"/>
          <w:lang w:val="en-US"/>
        </w:rPr>
        <w:t>部</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丰富“实践育人”教学载体。精心设计课程实践环节，丰富实践形式和内容。将课程实践内容与思政育人相结合，强化社会调查、毕业实习等实践环节的育人功能。分类建设一批学术交流、学业指导、心理辅导等社团组织；开展形式多样、健康向上、格调高雅的校园文化活动；整合思政课实践教学、大学生社会实践和专业课实习实训等实践教学环节，形成统一规划、分层实施、分类管理的实践教育体系。</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（责任部门：教务处、</w:t>
      </w:r>
      <w:r>
        <w:rPr>
          <w:rFonts w:hint="eastAsia" w:ascii="仿宋_GB2312" w:hAnsi="仿宋_GB2312" w:eastAsia="仿宋_GB2312" w:cs="仿宋_GB2312"/>
          <w:sz w:val="32"/>
          <w:szCs w:val="32"/>
          <w:lang w:val="en-US"/>
        </w:rPr>
        <w:t>党群工作处</w:t>
      </w:r>
      <w:r>
        <w:rPr>
          <w:rFonts w:hint="eastAsia" w:ascii="仿宋_GB2312" w:hAnsi="仿宋_GB2312" w:eastAsia="仿宋_GB2312" w:cs="仿宋_GB2312"/>
          <w:sz w:val="32"/>
          <w:szCs w:val="32"/>
        </w:rPr>
        <w:t>、学生工作处、团委、</w:t>
      </w:r>
      <w:r>
        <w:rPr>
          <w:rFonts w:hint="eastAsia" w:ascii="仿宋_GB2312" w:hAnsi="仿宋_GB2312" w:eastAsia="仿宋_GB2312" w:cs="仿宋_GB2312"/>
          <w:sz w:val="32"/>
          <w:szCs w:val="32"/>
          <w:lang w:val="en-US"/>
        </w:rPr>
        <w:t>人文思政与艺术体育部</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（三）加强“课程思政”师资队伍建设和教学团队建设</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加强教师教育培训。通过多种方式，引导教师树立“课程思政”理念，强化教师“三全育人”意识，将知识传授、能力培养和价值引领相融合观念。加强专题培训，发挥专业研讨、集体备课等环节的作用，强化“课程思政”教学改革工作，帮助教师提升在课堂主讲、现场回答、网上互动、课堂反馈、实践教学等环节中融入思政教育的能力。</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（责任部门：教务处、</w:t>
      </w:r>
      <w:r>
        <w:rPr>
          <w:rFonts w:hint="eastAsia" w:ascii="仿宋_GB2312" w:hAnsi="仿宋_GB2312" w:eastAsia="仿宋_GB2312" w:cs="仿宋_GB2312"/>
          <w:sz w:val="32"/>
          <w:szCs w:val="32"/>
          <w:lang w:val="en-US"/>
        </w:rPr>
        <w:t>党群工作处、办公室</w:t>
      </w:r>
      <w:r>
        <w:rPr>
          <w:rFonts w:hint="eastAsia" w:ascii="仿宋_GB2312" w:hAnsi="仿宋_GB2312" w:eastAsia="仿宋_GB2312" w:cs="仿宋_GB2312"/>
          <w:sz w:val="32"/>
          <w:szCs w:val="32"/>
        </w:rPr>
        <w:t>、各学</w:t>
      </w:r>
      <w:r>
        <w:rPr>
          <w:rFonts w:hint="eastAsia" w:ascii="仿宋_GB2312" w:hAnsi="仿宋_GB2312" w:eastAsia="仿宋_GB2312" w:cs="仿宋_GB2312"/>
          <w:sz w:val="32"/>
          <w:szCs w:val="32"/>
          <w:lang w:val="en-US"/>
        </w:rPr>
        <w:t>部</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发挥思政骨干教师和教学团队示范带头作用。充分</w:t>
      </w:r>
      <w:r>
        <w:rPr>
          <w:rFonts w:hint="eastAsia" w:ascii="仿宋_GB2312" w:hAnsi="仿宋_GB2312" w:eastAsia="仿宋_GB2312" w:cs="仿宋_GB2312"/>
          <w:sz w:val="32"/>
          <w:szCs w:val="32"/>
          <w:lang w:val="en-US"/>
        </w:rPr>
        <w:t>依托南通大学</w:t>
      </w:r>
      <w:r>
        <w:rPr>
          <w:rFonts w:hint="eastAsia" w:ascii="仿宋_GB2312" w:hAnsi="仿宋_GB2312" w:eastAsia="仿宋_GB2312" w:cs="仿宋_GB2312"/>
          <w:sz w:val="32"/>
          <w:szCs w:val="32"/>
        </w:rPr>
        <w:t>马克思主义学院</w:t>
      </w:r>
      <w:r>
        <w:rPr>
          <w:rFonts w:hint="eastAsia" w:ascii="仿宋_GB2312" w:hAnsi="仿宋_GB2312" w:eastAsia="仿宋_GB2312" w:cs="仿宋_GB2312"/>
          <w:sz w:val="32"/>
          <w:szCs w:val="32"/>
          <w:lang w:val="en-US"/>
        </w:rPr>
        <w:t>优质资源</w:t>
      </w:r>
      <w:r>
        <w:rPr>
          <w:rFonts w:hint="eastAsia" w:ascii="仿宋_GB2312" w:hAnsi="仿宋_GB2312" w:eastAsia="仿宋_GB2312" w:cs="仿宋_GB2312"/>
          <w:sz w:val="32"/>
          <w:szCs w:val="32"/>
        </w:rPr>
        <w:t>，坚持示范引领与全面推进相结合，组织好思政课教师集体备课会和骨干教师思政理论培训会。开展思政课教学名师和“课程思政”教学名师评选活动。鼓励思政课教学名师、骨干教师参加专业课教师集体备课、教学教研等活动，开展交流研讨，发挥带头示范作用。</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（责任部门：教务处、</w:t>
      </w:r>
      <w:r>
        <w:rPr>
          <w:rFonts w:hint="eastAsia" w:ascii="仿宋_GB2312" w:hAnsi="仿宋_GB2312" w:eastAsia="仿宋_GB2312" w:cs="仿宋_GB2312"/>
          <w:sz w:val="32"/>
          <w:szCs w:val="32"/>
          <w:lang w:val="en-US"/>
        </w:rPr>
        <w:t>党群工作处</w:t>
      </w:r>
      <w:r>
        <w:rPr>
          <w:rFonts w:hint="eastAsia" w:ascii="仿宋_GB2312" w:hAnsi="仿宋_GB2312" w:eastAsia="仿宋_GB2312" w:cs="仿宋_GB2312"/>
          <w:sz w:val="32"/>
          <w:szCs w:val="32"/>
        </w:rPr>
        <w:t>、各学</w:t>
      </w:r>
      <w:r>
        <w:rPr>
          <w:rFonts w:hint="eastAsia" w:ascii="仿宋_GB2312" w:hAnsi="仿宋_GB2312" w:eastAsia="仿宋_GB2312" w:cs="仿宋_GB2312"/>
          <w:sz w:val="32"/>
          <w:szCs w:val="32"/>
          <w:lang w:val="en-US"/>
        </w:rPr>
        <w:t>部</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（四）建立“课程思政”育人考核机制和评价体系</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在“学生评教”中增加“教师育人行为评价”的内容，使德育元 素成为“评教”的重要内容。在学院年度考核和党建工作考评中，将推进“课程思政</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教育教学改革成效纳入考核范畴。</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（责任部门：</w:t>
      </w:r>
      <w:r>
        <w:rPr>
          <w:rFonts w:hint="eastAsia" w:ascii="仿宋_GB2312" w:hAnsi="仿宋_GB2312" w:eastAsia="仿宋_GB2312" w:cs="仿宋_GB2312"/>
          <w:sz w:val="32"/>
          <w:szCs w:val="32"/>
          <w:lang w:val="en-US"/>
        </w:rPr>
        <w:t>教务处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党群工作处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办公室</w:t>
      </w:r>
      <w:r>
        <w:rPr>
          <w:rFonts w:hint="eastAsia" w:ascii="仿宋_GB2312" w:hAnsi="仿宋_GB2312" w:eastAsia="仿宋_GB2312" w:cs="仿宋_GB2312"/>
          <w:sz w:val="32"/>
          <w:szCs w:val="32"/>
        </w:rPr>
        <w:t>）</w:t>
      </w:r>
    </w:p>
    <w:p>
      <w:pPr>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四、保障措施</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（一）加强组织领导</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院成立“课程思政”工作领导小组、“课程思政”教学工作指导委员会，学部成立“课程思政”工作小组。“课程思政”工作领导小组负责规划和指导、督促和检查全校“课程思政”等工作，统筹推进全院“课程思政”教学改革工作，把“三全育人”理念纳入学院事业发展规划和人才培养之中；“课程思政”教学工作指导委员会负责指导全院“课程思政”的培训建设、研讨交流、教学比赛等各项活动，对学院“课程思政”建设工作提出建议；各学</w:t>
      </w:r>
      <w:r>
        <w:rPr>
          <w:rFonts w:hint="eastAsia" w:ascii="仿宋_GB2312" w:hAnsi="仿宋_GB2312" w:eastAsia="仿宋_GB2312" w:cs="仿宋_GB2312"/>
          <w:sz w:val="32"/>
          <w:szCs w:val="32"/>
          <w:lang w:val="en-US"/>
        </w:rPr>
        <w:t>部</w:t>
      </w:r>
      <w:r>
        <w:rPr>
          <w:rFonts w:hint="eastAsia" w:ascii="仿宋_GB2312" w:hAnsi="仿宋_GB2312" w:eastAsia="仿宋_GB2312" w:cs="仿宋_GB2312"/>
          <w:sz w:val="32"/>
          <w:szCs w:val="32"/>
        </w:rPr>
        <w:t>“课程思政”工作小组制定本单位的实施细则和“课程思政”工作计划，通过开展“课程思政”建设培训、金课建设、名师培育等工作，培育示范课程。</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（二）强化工作考核</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院组织相关人员定期对“课程思政”工作实施情况进行督导，确保“课程思政”工作落实可查可督，及时宣传表彰、督促整改。完善“课程思政”育人评价体系，学部“课程思政”工作开展情况纳入学院教学检查，教学督导和领导干部听课要对“课程思政”内容进行评价。在现有的听课评价中设置“课程思政”相关观测点。</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（三）完善激励保障机制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院划拨专项经费保障工作开展，通过项目的形式对“课程思政”工作提供资助。积极鼓励教师开展“课程思政”教学改革研究，提供专项经费资助，确保“课程思政”教学改革顺利实施。充分挖掘先进教学典型，利用各种途径进行大力宣传，营造良好的“课程思政”教学改革氛围，激发广大教师教书育人的使命感与责任感。</w:t>
      </w:r>
    </w:p>
    <w:p>
      <w:pPr>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五、本意见由教务处会同</w:t>
      </w:r>
      <w:r>
        <w:rPr>
          <w:rFonts w:hint="eastAsia" w:ascii="仿宋_GB2312" w:hAnsi="仿宋_GB2312" w:eastAsia="仿宋_GB2312" w:cs="仿宋_GB2312"/>
          <w:b/>
          <w:bCs/>
          <w:sz w:val="32"/>
          <w:szCs w:val="32"/>
          <w:lang w:val="en-US"/>
        </w:rPr>
        <w:t>党群工作处解释</w:t>
      </w:r>
      <w:r>
        <w:rPr>
          <w:rFonts w:hint="eastAsia" w:ascii="仿宋_GB2312" w:hAnsi="仿宋_GB2312" w:eastAsia="仿宋_GB2312" w:cs="仿宋_GB2312"/>
          <w:b/>
          <w:bCs/>
          <w:sz w:val="32"/>
          <w:szCs w:val="32"/>
        </w:rPr>
        <w:t>。</w:t>
      </w:r>
    </w:p>
    <w:p>
      <w:pPr>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六、本意见自发布之日起施行。</w:t>
      </w:r>
    </w:p>
    <w:sectPr>
      <w:footerReference r:id="rId3" w:type="default"/>
      <w:footerReference r:id="rId4" w:type="even"/>
      <w:pgSz w:w="11910" w:h="16840"/>
      <w:pgMar w:top="1580" w:right="1200" w:bottom="1460" w:left="1480" w:header="0" w:footer="126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996315</wp:posOffset>
              </wp:positionH>
              <wp:positionV relativeFrom="page">
                <wp:posOffset>9749155</wp:posOffset>
              </wp:positionV>
              <wp:extent cx="471170" cy="222885"/>
              <wp:effectExtent l="0" t="0" r="0" b="0"/>
              <wp:wrapNone/>
              <wp:docPr id="11" name="文本框 1"/>
              <wp:cNvGraphicFramePr/>
              <a:graphic xmlns:a="http://schemas.openxmlformats.org/drawingml/2006/main">
                <a:graphicData uri="http://schemas.microsoft.com/office/word/2010/wordprocessingShape">
                  <wps:wsp>
                    <wps:cNvSpPr txBox="1"/>
                    <wps:spPr>
                      <a:xfrm>
                        <a:off x="0" y="0"/>
                        <a:ext cx="471170" cy="222885"/>
                      </a:xfrm>
                      <a:prstGeom prst="rect">
                        <a:avLst/>
                      </a:prstGeom>
                      <a:noFill/>
                      <a:ln>
                        <a:noFill/>
                      </a:ln>
                      <a:effectLst/>
                    </wps:spPr>
                    <wps:txbx>
                      <w:txbxContent>
                        <w:p>
                          <w:pPr>
                            <w:spacing w:line="349" w:lineRule="exact"/>
                            <w:ind w:left="20"/>
                            <w:rPr>
                              <w:rFonts w:ascii="宋体"/>
                              <w:sz w:val="28"/>
                            </w:rPr>
                          </w:pPr>
                          <w:r>
                            <w:rPr>
                              <w:rFonts w:ascii="宋体"/>
                              <w:sz w:val="28"/>
                            </w:rPr>
                            <w:t xml:space="preserve">- </w:t>
                          </w:r>
                          <w:r>
                            <w:fldChar w:fldCharType="begin"/>
                          </w:r>
                          <w:r>
                            <w:rPr>
                              <w:rFonts w:ascii="Times New Roman"/>
                              <w:sz w:val="28"/>
                            </w:rPr>
                            <w:instrText xml:space="preserve"> PAGE </w:instrText>
                          </w:r>
                          <w:r>
                            <w:fldChar w:fldCharType="separate"/>
                          </w:r>
                          <w:r>
                            <w:rPr>
                              <w:rFonts w:ascii="Times New Roman"/>
                              <w:sz w:val="28"/>
                            </w:rPr>
                            <w:t>2</w:t>
                          </w:r>
                          <w:r>
                            <w:fldChar w:fldCharType="end"/>
                          </w:r>
                          <w:r>
                            <w:rPr>
                              <w:rFonts w:ascii="Times New Roman"/>
                              <w:sz w:val="28"/>
                            </w:rPr>
                            <w:t xml:space="preserve"> </w:t>
                          </w:r>
                          <w:r>
                            <w:rPr>
                              <w:rFonts w:ascii="宋体"/>
                              <w:sz w:val="28"/>
                            </w:rPr>
                            <w:t>-</w:t>
                          </w:r>
                        </w:p>
                      </w:txbxContent>
                    </wps:txbx>
                    <wps:bodyPr lIns="0" tIns="0" rIns="0" bIns="0" upright="1"/>
                  </wps:wsp>
                </a:graphicData>
              </a:graphic>
            </wp:anchor>
          </w:drawing>
        </mc:Choice>
        <mc:Fallback>
          <w:pict>
            <v:shape id="文本框 1" o:spid="_x0000_s1026" o:spt="202" type="#_x0000_t202" style="position:absolute;left:0pt;margin-left:78.45pt;margin-top:767.65pt;height:17.55pt;width:37.1pt;mso-position-horizontal-relative:page;mso-position-vertical-relative:page;z-index:-251657216;mso-width-relative:page;mso-height-relative:page;" filled="f" stroked="f" coordsize="21600,21600" o:gfxdata="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JknfzvaAAAADQEAAA8AAAAAAAAAAQAg&#10;AAAAOAAAAGRycy9kb3ducmV2LnhtbFBLAQIUABQAAAAIAIdO4kCCww/8vQEAAIADAAAOAAAAAAAA&#10;AAEAIAAAAD8BAABkcnMvZTJvRG9jLnhtbFBLBQYAAAAABgAGAFkBAABuBQAAAAA=&#10;">
              <v:fill on="f" focussize="0,0"/>
              <v:stroke on="f"/>
              <v:imagedata o:title=""/>
              <o:lock v:ext="edit" aspectratio="f"/>
              <v:textbox inset="0mm,0mm,0mm,0mm">
                <w:txbxContent>
                  <w:p>
                    <w:pPr>
                      <w:spacing w:line="349" w:lineRule="exact"/>
                      <w:ind w:left="20"/>
                      <w:rPr>
                        <w:rFonts w:ascii="宋体"/>
                        <w:sz w:val="28"/>
                      </w:rPr>
                    </w:pPr>
                    <w:r>
                      <w:rPr>
                        <w:rFonts w:ascii="宋体"/>
                        <w:sz w:val="28"/>
                      </w:rPr>
                      <w:t xml:space="preserve">- </w:t>
                    </w:r>
                    <w:r>
                      <w:fldChar w:fldCharType="begin"/>
                    </w:r>
                    <w:r>
                      <w:rPr>
                        <w:rFonts w:ascii="Times New Roman"/>
                        <w:sz w:val="28"/>
                      </w:rPr>
                      <w:instrText xml:space="preserve"> PAGE </w:instrText>
                    </w:r>
                    <w:r>
                      <w:fldChar w:fldCharType="separate"/>
                    </w:r>
                    <w:r>
                      <w:rPr>
                        <w:rFonts w:ascii="Times New Roman"/>
                        <w:sz w:val="28"/>
                      </w:rPr>
                      <w:t>2</w:t>
                    </w:r>
                    <w:r>
                      <w:fldChar w:fldCharType="end"/>
                    </w:r>
                    <w:r>
                      <w:rPr>
                        <w:rFonts w:ascii="Times New Roman"/>
                        <w:sz w:val="28"/>
                      </w:rPr>
                      <w:t xml:space="preserve"> </w:t>
                    </w:r>
                    <w:r>
                      <w:rPr>
                        <w:rFonts w:ascii="宋体"/>
                        <w:sz w:val="28"/>
                      </w:rPr>
                      <w:t>-</w:t>
                    </w:r>
                  </w:p>
                </w:txbxContent>
              </v:textbox>
            </v:shape>
          </w:pict>
        </mc:Fallback>
      </mc:AlternateConten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