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行楷" w:hAnsi="华文行楷" w:eastAsia="华文行楷" w:cs="华文行楷"/>
          <w:b/>
          <w:bCs/>
          <w:sz w:val="52"/>
          <w:szCs w:val="52"/>
          <w:lang w:val="en-US" w:eastAsia="zh-CN"/>
        </w:rPr>
      </w:pPr>
      <w:r>
        <w:rPr>
          <w:rFonts w:hint="eastAsia" w:ascii="华文行楷" w:hAnsi="华文行楷" w:eastAsia="华文行楷" w:cs="华文行楷"/>
          <w:b/>
          <w:bCs/>
          <w:sz w:val="52"/>
          <w:szCs w:val="52"/>
          <w:lang w:eastAsia="zh-CN"/>
        </w:rPr>
        <w:t>“</w:t>
      </w:r>
      <w:r>
        <w:rPr>
          <w:rFonts w:hint="eastAsia" w:ascii="华文行楷" w:hAnsi="华文行楷" w:eastAsia="华文行楷" w:cs="华文行楷"/>
          <w:b/>
          <w:bCs/>
          <w:sz w:val="52"/>
          <w:szCs w:val="52"/>
          <w:lang w:val="en-US" w:eastAsia="zh-CN"/>
        </w:rPr>
        <w:t>词之以恒，英有尽有”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华文行楷" w:hAnsi="华文行楷" w:eastAsia="华文行楷" w:cs="华文行楷"/>
          <w:b/>
          <w:bCs/>
          <w:sz w:val="52"/>
          <w:szCs w:val="52"/>
          <w:lang w:val="en-US" w:eastAsia="zh-CN"/>
        </w:rPr>
        <w:t>线上单词打卡活动获奖名单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ind w:left="960" w:hanging="1920" w:hangingChars="400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8"/>
          <w:szCs w:val="48"/>
        </w:rPr>
        <w:t>一等奖</w:t>
      </w: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48"/>
          <w:szCs w:val="48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服192黄怡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信工201刘嘉玲</w:t>
      </w:r>
    </w:p>
    <w:p>
      <w:pPr>
        <w:ind w:firstLine="1760" w:firstLineChars="400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华文行楷" w:hAnsi="华文行楷" w:eastAsia="华文行楷" w:cs="华文行楷"/>
          <w:sz w:val="44"/>
          <w:szCs w:val="44"/>
        </w:rPr>
        <w:t>计科201邢宪昱</w:t>
      </w:r>
    </w:p>
    <w:p>
      <w:pPr>
        <w:ind w:left="960" w:hanging="1920" w:hangingChars="400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8"/>
          <w:szCs w:val="48"/>
        </w:rPr>
        <w:t>二等奖</w:t>
      </w: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48"/>
          <w:szCs w:val="48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软件192陈思远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信工202叶霞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交通203李显银</w:t>
      </w:r>
    </w:p>
    <w:p>
      <w:pPr>
        <w:ind w:left="960" w:hanging="1920" w:hangingChars="400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8"/>
          <w:szCs w:val="48"/>
        </w:rPr>
        <w:t>三等奖</w:t>
      </w: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48"/>
          <w:szCs w:val="48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信工203宋玉环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自201邹琪琪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软嵌212王舒吉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服211李晓倩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bookmarkStart w:id="0" w:name="_GoBack"/>
      <w:bookmarkEnd w:id="0"/>
      <w:r>
        <w:rPr>
          <w:rFonts w:hint="eastAsia" w:ascii="华文行楷" w:hAnsi="华文行楷" w:eastAsia="华文行楷" w:cs="华文行楷"/>
          <w:sz w:val="44"/>
          <w:szCs w:val="44"/>
        </w:rPr>
        <w:t>自201田飞扬</w:t>
      </w:r>
    </w:p>
    <w:p>
      <w:pPr>
        <w:ind w:left="960" w:hanging="1760" w:hangingChars="400"/>
        <w:rPr>
          <w:rFonts w:hint="eastAsia" w:ascii="华文行楷" w:hAnsi="华文行楷" w:eastAsia="华文行楷" w:cs="华文行楷"/>
          <w:sz w:val="44"/>
          <w:szCs w:val="44"/>
        </w:rPr>
      </w:pPr>
    </w:p>
    <w:p>
      <w:pPr>
        <w:ind w:left="960" w:hanging="1760" w:hangingChars="400"/>
        <w:rPr>
          <w:rFonts w:hint="eastAsia" w:ascii="华文行楷" w:hAnsi="华文行楷" w:eastAsia="华文行楷" w:cs="华文行楷"/>
          <w:sz w:val="44"/>
          <w:szCs w:val="44"/>
        </w:rPr>
      </w:pPr>
    </w:p>
    <w:p>
      <w:pPr>
        <w:ind w:left="960" w:hanging="1760" w:hangingChars="400"/>
        <w:jc w:val="right"/>
        <w:rPr>
          <w:rFonts w:hint="default" w:ascii="华文行楷" w:hAnsi="华文行楷" w:eastAsia="华文行楷" w:cs="华文行楷"/>
          <w:sz w:val="44"/>
          <w:szCs w:val="44"/>
          <w:lang w:val="en-US" w:eastAsia="zh-CN"/>
        </w:rPr>
      </w:pPr>
      <w:r>
        <w:rPr>
          <w:rFonts w:hint="eastAsia" w:ascii="华文行楷" w:hAnsi="华文行楷" w:eastAsia="华文行楷" w:cs="华文行楷"/>
          <w:sz w:val="44"/>
          <w:szCs w:val="44"/>
          <w:lang w:val="en-US" w:eastAsia="zh-CN"/>
        </w:rPr>
        <w:t>工学部学习调研部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