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00" w:lineRule="auto"/>
        <w:jc w:val="center"/>
        <w:rPr>
          <w:rFonts w:eastAsiaTheme="minorEastAsia"/>
          <w:b/>
          <w:sz w:val="32"/>
          <w:szCs w:val="28"/>
        </w:rPr>
      </w:pPr>
      <w:r>
        <w:rPr>
          <w:rFonts w:eastAsiaTheme="minorEastAsia"/>
          <w:b/>
          <w:sz w:val="32"/>
          <w:szCs w:val="28"/>
        </w:rPr>
        <w:t>杏林学院（启东校区管委会）202</w:t>
      </w:r>
      <w:r>
        <w:rPr>
          <w:rFonts w:hint="eastAsia" w:eastAsiaTheme="minorEastAsia"/>
          <w:b/>
          <w:sz w:val="32"/>
          <w:szCs w:val="28"/>
        </w:rPr>
        <w:t>3</w:t>
      </w:r>
      <w:r>
        <w:rPr>
          <w:rFonts w:eastAsiaTheme="minorEastAsia"/>
          <w:b/>
          <w:sz w:val="32"/>
          <w:szCs w:val="28"/>
        </w:rPr>
        <w:t>年奖励性绩效工资实施办法</w:t>
      </w:r>
    </w:p>
    <w:p>
      <w:pPr>
        <w:snapToGrid w:val="0"/>
        <w:spacing w:line="520" w:lineRule="exact"/>
        <w:jc w:val="center"/>
        <w:rPr>
          <w:rFonts w:eastAsia="仿宋"/>
          <w:sz w:val="28"/>
          <w:szCs w:val="28"/>
        </w:rPr>
      </w:pPr>
      <w:r>
        <w:rPr>
          <w:rFonts w:eastAsia="仿宋"/>
          <w:sz w:val="28"/>
          <w:szCs w:val="28"/>
        </w:rPr>
        <w:t>（</w:t>
      </w:r>
      <w:r>
        <w:rPr>
          <w:rFonts w:hint="eastAsia" w:eastAsia="仿宋"/>
          <w:sz w:val="28"/>
          <w:szCs w:val="28"/>
        </w:rPr>
        <w:t>审议稿</w:t>
      </w:r>
      <w:r>
        <w:rPr>
          <w:rFonts w:eastAsia="仿宋"/>
          <w:sz w:val="28"/>
          <w:szCs w:val="28"/>
        </w:rPr>
        <w:t>）</w:t>
      </w:r>
    </w:p>
    <w:p>
      <w:pPr>
        <w:snapToGrid w:val="0"/>
        <w:spacing w:line="520" w:lineRule="exact"/>
        <w:ind w:firstLine="560" w:firstLineChars="200"/>
        <w:rPr>
          <w:rFonts w:eastAsia="仿宋"/>
          <w:sz w:val="28"/>
          <w:szCs w:val="28"/>
        </w:rPr>
      </w:pPr>
      <w:r>
        <w:rPr>
          <w:rFonts w:eastAsia="仿宋"/>
          <w:sz w:val="28"/>
          <w:szCs w:val="28"/>
        </w:rPr>
        <w:t>为深化收入分配制度改革，发挥奖励性绩效工资的激励导向作用，根据《南通大学绩效工资实施办法》（通大人〔2019〕7号）等相关文件精神，按照南通大学当年度年终分配工作方案，按照杏林学院各类岗位聘任情况和</w:t>
      </w:r>
      <w:r>
        <w:rPr>
          <w:rFonts w:hint="eastAsia" w:eastAsia="仿宋"/>
          <w:sz w:val="28"/>
          <w:szCs w:val="28"/>
          <w:shd w:val="clear" w:color="auto" w:fill="FFFFFF"/>
        </w:rPr>
        <w:t>《</w:t>
      </w:r>
      <w:r>
        <w:rPr>
          <w:rFonts w:eastAsia="仿宋"/>
          <w:sz w:val="28"/>
          <w:szCs w:val="28"/>
          <w:shd w:val="clear" w:color="auto" w:fill="FFFFFF"/>
        </w:rPr>
        <w:t>杏林学院（启东校区管委会）第二轮聘期岗位绩效定档工作实施方案</w:t>
      </w:r>
      <w:r>
        <w:rPr>
          <w:rFonts w:hint="eastAsia" w:eastAsia="仿宋"/>
          <w:sz w:val="28"/>
          <w:szCs w:val="28"/>
          <w:shd w:val="clear" w:color="auto" w:fill="FFFFFF"/>
        </w:rPr>
        <w:t>》</w:t>
      </w:r>
      <w:r>
        <w:rPr>
          <w:rFonts w:eastAsia="仿宋"/>
          <w:sz w:val="28"/>
          <w:szCs w:val="28"/>
          <w:shd w:val="clear" w:color="auto" w:fill="FFFFFF"/>
        </w:rPr>
        <w:t>（通大院杏办〔20</w:t>
      </w:r>
      <w:r>
        <w:rPr>
          <w:rFonts w:hint="eastAsia" w:eastAsia="仿宋"/>
          <w:sz w:val="28"/>
          <w:szCs w:val="28"/>
          <w:shd w:val="clear" w:color="auto" w:fill="FFFFFF"/>
        </w:rPr>
        <w:t>23</w:t>
      </w:r>
      <w:r>
        <w:rPr>
          <w:rFonts w:eastAsia="仿宋"/>
          <w:sz w:val="28"/>
          <w:szCs w:val="28"/>
          <w:shd w:val="clear" w:color="auto" w:fill="FFFFFF"/>
        </w:rPr>
        <w:t>〕</w:t>
      </w:r>
      <w:r>
        <w:rPr>
          <w:rFonts w:hint="eastAsia" w:eastAsia="仿宋"/>
          <w:sz w:val="28"/>
          <w:szCs w:val="28"/>
          <w:shd w:val="clear" w:color="auto" w:fill="FFFFFF"/>
        </w:rPr>
        <w:t>10</w:t>
      </w:r>
      <w:r>
        <w:rPr>
          <w:rFonts w:eastAsia="仿宋"/>
          <w:sz w:val="28"/>
          <w:szCs w:val="28"/>
          <w:shd w:val="clear" w:color="auto" w:fill="FFFFFF"/>
        </w:rPr>
        <w:t>号）</w:t>
      </w:r>
      <w:r>
        <w:rPr>
          <w:rFonts w:eastAsia="仿宋"/>
          <w:sz w:val="28"/>
          <w:szCs w:val="28"/>
        </w:rPr>
        <w:t>，结合启东校区管委会与杏林学院合署办公的实际，制定本实施办法。</w:t>
      </w:r>
    </w:p>
    <w:p>
      <w:pPr>
        <w:snapToGrid w:val="0"/>
        <w:spacing w:line="520" w:lineRule="exact"/>
        <w:ind w:firstLine="562" w:firstLineChars="200"/>
        <w:rPr>
          <w:rFonts w:eastAsia="仿宋"/>
          <w:b/>
          <w:sz w:val="28"/>
          <w:szCs w:val="28"/>
        </w:rPr>
      </w:pPr>
      <w:r>
        <w:rPr>
          <w:rFonts w:eastAsia="仿宋"/>
          <w:b/>
          <w:sz w:val="28"/>
          <w:szCs w:val="28"/>
        </w:rPr>
        <w:t>一、指导思想</w:t>
      </w:r>
    </w:p>
    <w:p>
      <w:pPr>
        <w:snapToGrid w:val="0"/>
        <w:spacing w:line="520" w:lineRule="exact"/>
        <w:ind w:firstLine="560" w:firstLineChars="200"/>
        <w:rPr>
          <w:rFonts w:eastAsia="仿宋"/>
          <w:sz w:val="28"/>
          <w:szCs w:val="28"/>
        </w:rPr>
      </w:pPr>
      <w:r>
        <w:rPr>
          <w:rFonts w:eastAsia="仿宋"/>
          <w:sz w:val="28"/>
          <w:szCs w:val="28"/>
        </w:rPr>
        <w:t>以习近平新时代中国特色社会主义思想为指导，以提高应用型人才培养质量和稳定高效运行为导向，通过建立以体现岗位绩效和贡献大小为核心的分配模式，充分激发和调动杏林学院（启东校区管委会）（以下简称“杏林〔管委会〕”）广大教职工的积极性和创造性，实现平稳发展、规范发展、转型发展和创新发展。</w:t>
      </w:r>
    </w:p>
    <w:p>
      <w:pPr>
        <w:snapToGrid w:val="0"/>
        <w:spacing w:line="520" w:lineRule="exact"/>
        <w:ind w:firstLine="562" w:firstLineChars="200"/>
        <w:rPr>
          <w:rFonts w:eastAsia="仿宋"/>
          <w:b/>
          <w:sz w:val="28"/>
          <w:szCs w:val="28"/>
        </w:rPr>
      </w:pPr>
      <w:r>
        <w:rPr>
          <w:rFonts w:eastAsia="仿宋"/>
          <w:b/>
          <w:sz w:val="28"/>
          <w:szCs w:val="28"/>
        </w:rPr>
        <w:t>二、基本原则</w:t>
      </w:r>
    </w:p>
    <w:p>
      <w:pPr>
        <w:snapToGrid w:val="0"/>
        <w:spacing w:line="520" w:lineRule="exact"/>
        <w:ind w:firstLine="560" w:firstLineChars="200"/>
        <w:rPr>
          <w:rFonts w:eastAsia="仿宋"/>
          <w:sz w:val="28"/>
          <w:szCs w:val="28"/>
        </w:rPr>
      </w:pPr>
      <w:r>
        <w:rPr>
          <w:rFonts w:eastAsia="仿宋"/>
          <w:sz w:val="28"/>
          <w:szCs w:val="28"/>
        </w:rPr>
        <w:t>1.目标引领，两次分配。以本单位教学工作和管理服务的发展目标，作为绩效工资分配的重要依据，以一定标准的教学工作量绩效成本结算推进完善年度基本工作量制度，充分发挥绩效工资分配政策的驱动作用。结合学院管理体制和运行模式改革的需要，绩效工资实行二级管理，杏林〔管委会〕总量分配与部门分配相结合。</w:t>
      </w:r>
    </w:p>
    <w:p>
      <w:pPr>
        <w:snapToGrid w:val="0"/>
        <w:spacing w:line="520" w:lineRule="exact"/>
        <w:ind w:firstLine="560" w:firstLineChars="200"/>
        <w:rPr>
          <w:rFonts w:eastAsia="仿宋"/>
          <w:sz w:val="28"/>
          <w:szCs w:val="28"/>
        </w:rPr>
      </w:pPr>
      <w:r>
        <w:rPr>
          <w:rFonts w:eastAsia="仿宋"/>
          <w:sz w:val="28"/>
          <w:szCs w:val="28"/>
        </w:rPr>
        <w:t>2.分类管理，总体平衡。根据部门承担工作性质和人员岗位之间的区别，对职能部门、专业学部采取总量切块，实行“分类管理，条块平衡”。并根据可分配绩效工资总量和基本工作量完成情况，合理确定不同类别人员之间的收入差距。</w:t>
      </w:r>
    </w:p>
    <w:p>
      <w:pPr>
        <w:snapToGrid w:val="0"/>
        <w:spacing w:line="520" w:lineRule="exact"/>
        <w:ind w:firstLine="560" w:firstLineChars="200"/>
        <w:rPr>
          <w:rFonts w:eastAsia="仿宋"/>
          <w:sz w:val="28"/>
          <w:szCs w:val="28"/>
        </w:rPr>
      </w:pPr>
      <w:r>
        <w:rPr>
          <w:rFonts w:eastAsia="仿宋"/>
          <w:sz w:val="28"/>
          <w:szCs w:val="28"/>
        </w:rPr>
        <w:t>3.岗绩结合，优绩优酬。坚持以岗位聘用作为定薪取酬的基本条件，以工作业绩作为收入分配的主要依据，教学岗人员的业绩奖励津贴平均水平与专职</w:t>
      </w:r>
      <w:r>
        <w:rPr>
          <w:rFonts w:hint="eastAsia" w:eastAsia="仿宋"/>
          <w:sz w:val="28"/>
          <w:szCs w:val="28"/>
        </w:rPr>
        <w:t>辅导员</w:t>
      </w:r>
      <w:r>
        <w:rPr>
          <w:rFonts w:eastAsia="仿宋"/>
          <w:sz w:val="28"/>
          <w:szCs w:val="28"/>
        </w:rPr>
        <w:t>作岗、非教学岗人员的平均水平大致相当，同时向优秀拔尖人才、业绩突出和关键岗位的工作人员倾斜，体现“多劳多得、优绩优酬”，进一步强化岗位聘用和业绩考核意识。</w:t>
      </w:r>
    </w:p>
    <w:p>
      <w:pPr>
        <w:snapToGrid w:val="0"/>
        <w:spacing w:line="520" w:lineRule="exact"/>
        <w:ind w:firstLine="562" w:firstLineChars="200"/>
        <w:rPr>
          <w:rFonts w:eastAsia="仿宋"/>
          <w:b/>
          <w:sz w:val="28"/>
          <w:szCs w:val="28"/>
        </w:rPr>
      </w:pPr>
      <w:r>
        <w:rPr>
          <w:rFonts w:eastAsia="仿宋"/>
          <w:b/>
          <w:sz w:val="28"/>
          <w:szCs w:val="28"/>
        </w:rPr>
        <w:t>三、实施范围</w:t>
      </w:r>
    </w:p>
    <w:p>
      <w:pPr>
        <w:snapToGrid w:val="0"/>
        <w:spacing w:line="520" w:lineRule="exact"/>
        <w:ind w:firstLine="560" w:firstLineChars="200"/>
        <w:rPr>
          <w:rFonts w:eastAsia="仿宋"/>
          <w:sz w:val="28"/>
          <w:szCs w:val="28"/>
        </w:rPr>
      </w:pPr>
      <w:r>
        <w:rPr>
          <w:rFonts w:eastAsia="仿宋"/>
          <w:sz w:val="28"/>
          <w:szCs w:val="28"/>
        </w:rPr>
        <w:t>杏林〔管委会〕奖励性绩效工资的实施范围为在杏林〔管委会〕管理岗位和专业技术岗位工作的教职工。其中：</w:t>
      </w:r>
    </w:p>
    <w:p>
      <w:pPr>
        <w:snapToGrid w:val="0"/>
        <w:spacing w:line="520" w:lineRule="exact"/>
        <w:ind w:firstLine="560" w:firstLineChars="200"/>
        <w:rPr>
          <w:rFonts w:eastAsia="仿宋"/>
          <w:sz w:val="28"/>
          <w:szCs w:val="28"/>
        </w:rPr>
      </w:pPr>
      <w:r>
        <w:rPr>
          <w:rFonts w:eastAsia="仿宋"/>
          <w:sz w:val="28"/>
          <w:szCs w:val="28"/>
        </w:rPr>
        <w:t>1.享受杏林〔管委会〕基础性绩效工资的教职工，其奖励性绩效工资从杏林〔管委会〕奖励性绩效工资总额中支出。</w:t>
      </w:r>
    </w:p>
    <w:p>
      <w:pPr>
        <w:snapToGrid w:val="0"/>
        <w:spacing w:line="520" w:lineRule="exact"/>
        <w:ind w:firstLine="560" w:firstLineChars="200"/>
        <w:rPr>
          <w:rFonts w:eastAsia="仿宋"/>
          <w:sz w:val="28"/>
          <w:szCs w:val="28"/>
        </w:rPr>
      </w:pPr>
      <w:r>
        <w:rPr>
          <w:rFonts w:eastAsia="仿宋"/>
          <w:sz w:val="28"/>
          <w:szCs w:val="28"/>
        </w:rPr>
        <w:t>2.杏林学院身份的劳动用工按照其工作岗位，参照与实施奖励性绩效的教职工，按照杏林〔管委会〕奖励性绩效当年计发标准和办法执行。岗位奖励津贴和业绩奖励津贴从杏林学院劳工工资经费列支，成果类专项奖励津贴和专项奖励津贴等从杏林〔管委会〕奖励性绩效工资总额中支出。</w:t>
      </w:r>
    </w:p>
    <w:p>
      <w:pPr>
        <w:snapToGrid w:val="0"/>
        <w:spacing w:line="520" w:lineRule="exact"/>
        <w:ind w:firstLine="560" w:firstLineChars="200"/>
        <w:rPr>
          <w:rFonts w:eastAsia="仿宋"/>
          <w:sz w:val="28"/>
          <w:szCs w:val="28"/>
        </w:rPr>
      </w:pPr>
      <w:r>
        <w:rPr>
          <w:rFonts w:eastAsia="仿宋"/>
          <w:sz w:val="28"/>
          <w:szCs w:val="28"/>
        </w:rPr>
        <w:t>3.其他人员按以下方式：</w:t>
      </w:r>
    </w:p>
    <w:p>
      <w:pPr>
        <w:snapToGrid w:val="0"/>
        <w:spacing w:line="520" w:lineRule="exact"/>
        <w:ind w:firstLine="560" w:firstLineChars="200"/>
        <w:rPr>
          <w:rFonts w:eastAsia="仿宋"/>
          <w:sz w:val="28"/>
          <w:szCs w:val="28"/>
        </w:rPr>
      </w:pPr>
      <w:r>
        <w:rPr>
          <w:rFonts w:eastAsia="仿宋"/>
          <w:sz w:val="28"/>
          <w:szCs w:val="28"/>
        </w:rPr>
        <w:t>（1）学校在职教工或退休人员聘任在杏林学院全职岗位工作，根据个人实际情况，按照杏林学院聘用人员薪酬标准或学校职能部门确定的待遇，费用从杏林学院外聘人员经费列支。</w:t>
      </w:r>
    </w:p>
    <w:p>
      <w:pPr>
        <w:snapToGrid w:val="0"/>
        <w:spacing w:line="520" w:lineRule="exact"/>
        <w:ind w:firstLine="560" w:firstLineChars="200"/>
        <w:rPr>
          <w:rFonts w:eastAsia="仿宋"/>
          <w:sz w:val="28"/>
          <w:szCs w:val="28"/>
        </w:rPr>
      </w:pPr>
      <w:r>
        <w:rPr>
          <w:rFonts w:eastAsia="仿宋"/>
          <w:sz w:val="28"/>
          <w:szCs w:val="28"/>
        </w:rPr>
        <w:t>（2）聘任在杏林学院各兼职岗位工作，包括系主任、专业负责人、教学督导、党建组织员等，按照《杏林学院聘用人员津贴计发办法》进行计发，经费从杏林学院外聘人员经费列支。</w:t>
      </w:r>
    </w:p>
    <w:p>
      <w:pPr>
        <w:snapToGrid w:val="0"/>
        <w:spacing w:line="520" w:lineRule="exact"/>
        <w:ind w:firstLine="560" w:firstLineChars="200"/>
        <w:rPr>
          <w:rFonts w:eastAsia="仿宋"/>
          <w:sz w:val="28"/>
          <w:szCs w:val="28"/>
        </w:rPr>
      </w:pPr>
      <w:r>
        <w:rPr>
          <w:rFonts w:eastAsia="仿宋"/>
          <w:sz w:val="28"/>
          <w:szCs w:val="28"/>
        </w:rPr>
        <w:t>（3）院外单位和个人承担杏林〔管委会〕某专项工作的，经杏林〔管委会〕党政联席会议审批同意后，参照院同类岗位人员和学院奖励性绩效有关标准，视其工作内容、性质和情况，从相应经费中列支。</w:t>
      </w:r>
    </w:p>
    <w:p>
      <w:pPr>
        <w:snapToGrid w:val="0"/>
        <w:spacing w:line="520" w:lineRule="exact"/>
        <w:ind w:firstLine="562" w:firstLineChars="200"/>
        <w:rPr>
          <w:rFonts w:eastAsia="仿宋"/>
          <w:b/>
          <w:sz w:val="28"/>
          <w:szCs w:val="28"/>
        </w:rPr>
      </w:pPr>
      <w:r>
        <w:rPr>
          <w:rFonts w:hint="eastAsia" w:eastAsia="仿宋"/>
          <w:b/>
          <w:sz w:val="28"/>
          <w:szCs w:val="28"/>
        </w:rPr>
        <w:t>四</w:t>
      </w:r>
      <w:r>
        <w:rPr>
          <w:rFonts w:eastAsia="仿宋"/>
          <w:b/>
          <w:sz w:val="28"/>
          <w:szCs w:val="28"/>
        </w:rPr>
        <w:t>、组织机构</w:t>
      </w:r>
    </w:p>
    <w:p>
      <w:pPr>
        <w:snapToGrid w:val="0"/>
        <w:spacing w:line="520" w:lineRule="exact"/>
        <w:ind w:firstLine="560" w:firstLineChars="200"/>
        <w:rPr>
          <w:rFonts w:eastAsia="仿宋"/>
          <w:sz w:val="28"/>
          <w:szCs w:val="28"/>
        </w:rPr>
      </w:pPr>
      <w:r>
        <w:rPr>
          <w:rFonts w:eastAsia="仿宋"/>
          <w:sz w:val="28"/>
          <w:szCs w:val="28"/>
        </w:rPr>
        <w:t>杏林〔管委会〕绩效工资实施工作小组由杏林〔管委会〕党政领导、各职能部门主要负责人，杏林学院各学部主任以及群团工作主要负责人组成，负责制定和完善奖励性绩效工资实施细则。小组下设办公室，挂靠杏林学院办公室，负责奖励性绩效的核发。</w:t>
      </w:r>
    </w:p>
    <w:p>
      <w:pPr>
        <w:snapToGrid w:val="0"/>
        <w:spacing w:line="520" w:lineRule="exact"/>
        <w:ind w:firstLine="562" w:firstLineChars="200"/>
        <w:rPr>
          <w:rFonts w:eastAsia="仿宋"/>
          <w:b/>
          <w:sz w:val="28"/>
          <w:szCs w:val="28"/>
        </w:rPr>
      </w:pPr>
      <w:bookmarkStart w:id="0" w:name="zhengwen"/>
      <w:r>
        <w:rPr>
          <w:rFonts w:hint="eastAsia" w:eastAsia="仿宋"/>
          <w:b/>
          <w:sz w:val="28"/>
          <w:szCs w:val="28"/>
        </w:rPr>
        <w:t>五</w:t>
      </w:r>
      <w:r>
        <w:rPr>
          <w:rFonts w:eastAsia="仿宋"/>
          <w:b/>
          <w:sz w:val="28"/>
          <w:szCs w:val="28"/>
        </w:rPr>
        <w:t>、</w:t>
      </w:r>
      <w:r>
        <w:rPr>
          <w:rFonts w:hint="eastAsia" w:eastAsia="仿宋"/>
          <w:b/>
          <w:sz w:val="28"/>
          <w:szCs w:val="28"/>
        </w:rPr>
        <w:t>经费总量及组成</w:t>
      </w:r>
    </w:p>
    <w:p>
      <w:pPr>
        <w:snapToGrid w:val="0"/>
        <w:spacing w:line="520" w:lineRule="exact"/>
        <w:ind w:firstLine="560" w:firstLineChars="200"/>
        <w:rPr>
          <w:rFonts w:eastAsia="仿宋"/>
          <w:sz w:val="28"/>
          <w:szCs w:val="28"/>
        </w:rPr>
      </w:pPr>
      <w:r>
        <w:rPr>
          <w:rFonts w:eastAsia="仿宋"/>
          <w:sz w:val="28"/>
          <w:szCs w:val="28"/>
        </w:rPr>
        <w:t>奖励性绩效工资经费</w:t>
      </w:r>
      <w:r>
        <w:rPr>
          <w:rFonts w:hint="eastAsia" w:eastAsia="仿宋"/>
          <w:sz w:val="28"/>
          <w:szCs w:val="28"/>
        </w:rPr>
        <w:t>总量</w:t>
      </w:r>
      <w:r>
        <w:rPr>
          <w:rFonts w:eastAsia="仿宋"/>
          <w:sz w:val="28"/>
          <w:szCs w:val="28"/>
        </w:rPr>
        <w:t>包括按学校标准计算的杏林〔管委会〕人员岗位奖励津贴和业绩奖励津贴经费、理事会批准的杏林学院工作量增效津贴经费，以及学院福利费、启东校区经营用房服务创收分配等。其中杏林学院工作量增效津贴经费的分配由杏林〔管委会〕绩效工资实施领导小组根据实际情况研究决定。</w:t>
      </w:r>
    </w:p>
    <w:p>
      <w:pPr>
        <w:snapToGrid w:val="0"/>
        <w:spacing w:line="520" w:lineRule="exact"/>
        <w:ind w:firstLine="562" w:firstLineChars="200"/>
        <w:rPr>
          <w:rFonts w:eastAsia="仿宋"/>
          <w:b/>
          <w:bCs/>
          <w:sz w:val="30"/>
          <w:szCs w:val="30"/>
        </w:rPr>
      </w:pPr>
      <w:r>
        <w:rPr>
          <w:rFonts w:eastAsia="仿宋"/>
          <w:b/>
          <w:sz w:val="28"/>
          <w:szCs w:val="28"/>
        </w:rPr>
        <w:t>六、</w:t>
      </w:r>
      <w:r>
        <w:rPr>
          <w:rFonts w:eastAsia="仿宋"/>
          <w:b/>
          <w:bCs/>
          <w:sz w:val="28"/>
          <w:szCs w:val="28"/>
        </w:rPr>
        <w:t>岗位奖励津贴</w:t>
      </w:r>
      <w:r>
        <w:rPr>
          <w:rFonts w:hint="eastAsia" w:eastAsia="仿宋"/>
          <w:b/>
          <w:bCs/>
          <w:sz w:val="28"/>
          <w:szCs w:val="28"/>
        </w:rPr>
        <w:t>考核与计发</w:t>
      </w:r>
    </w:p>
    <w:p>
      <w:pPr>
        <w:snapToGrid w:val="0"/>
        <w:spacing w:line="520" w:lineRule="exact"/>
        <w:ind w:firstLine="560" w:firstLineChars="200"/>
        <w:rPr>
          <w:rFonts w:eastAsia="仿宋"/>
          <w:sz w:val="28"/>
          <w:szCs w:val="28"/>
          <w:shd w:val="clear" w:color="auto" w:fill="FFFFFF"/>
        </w:rPr>
      </w:pPr>
      <w:r>
        <w:rPr>
          <w:rFonts w:eastAsia="仿宋"/>
          <w:sz w:val="28"/>
          <w:szCs w:val="28"/>
          <w:shd w:val="clear" w:color="auto" w:fill="FFFFFF"/>
        </w:rPr>
        <w:t>岗位奖励津贴是对较好地履行岗位职责、完成本岗位基本工作任务的教职工的奖励。各</w:t>
      </w:r>
      <w:r>
        <w:rPr>
          <w:rFonts w:hint="eastAsia" w:eastAsia="仿宋"/>
          <w:sz w:val="28"/>
          <w:szCs w:val="28"/>
          <w:shd w:val="clear" w:color="auto" w:fill="FFFFFF"/>
        </w:rPr>
        <w:t>部门</w:t>
      </w:r>
      <w:r>
        <w:rPr>
          <w:rFonts w:eastAsia="仿宋"/>
          <w:sz w:val="28"/>
          <w:szCs w:val="28"/>
          <w:shd w:val="clear" w:color="auto" w:fill="FFFFFF"/>
        </w:rPr>
        <w:t>应结合《南通大学杏林学院（启东校区管委会）第二轮聘期岗位绩效定档工作实施方案》，</w:t>
      </w:r>
      <w:r>
        <w:rPr>
          <w:rFonts w:hint="eastAsia" w:eastAsia="仿宋"/>
          <w:sz w:val="28"/>
          <w:szCs w:val="28"/>
          <w:shd w:val="clear" w:color="auto" w:fill="FFFFFF"/>
        </w:rPr>
        <w:t>和部门</w:t>
      </w:r>
      <w:r>
        <w:rPr>
          <w:rFonts w:eastAsia="仿宋"/>
          <w:sz w:val="28"/>
          <w:szCs w:val="28"/>
          <w:shd w:val="clear" w:color="auto" w:fill="FFFFFF"/>
        </w:rPr>
        <w:t>实际情况，建立岗责一致的年度绩效评价制度，对不同岗位类别人员实行分类评价</w:t>
      </w:r>
      <w:r>
        <w:rPr>
          <w:rFonts w:hint="eastAsia" w:eastAsia="仿宋"/>
          <w:sz w:val="28"/>
          <w:szCs w:val="28"/>
          <w:shd w:val="clear" w:color="auto" w:fill="FFFFFF"/>
        </w:rPr>
        <w:t>和考核。</w:t>
      </w:r>
      <w:r>
        <w:rPr>
          <w:rFonts w:eastAsia="仿宋"/>
          <w:sz w:val="28"/>
          <w:szCs w:val="28"/>
        </w:rPr>
        <w:t>岗位等级越高，基本工作任务要求越高。</w:t>
      </w:r>
      <w:r>
        <w:rPr>
          <w:rFonts w:hint="eastAsia" w:eastAsia="仿宋"/>
          <w:sz w:val="28"/>
          <w:szCs w:val="28"/>
          <w:shd w:val="clear" w:color="auto" w:fill="FFFFFF"/>
        </w:rPr>
        <w:t>本部门</w:t>
      </w:r>
      <w:r>
        <w:rPr>
          <w:rFonts w:eastAsia="仿宋"/>
          <w:sz w:val="28"/>
          <w:szCs w:val="28"/>
          <w:shd w:val="clear" w:color="auto" w:fill="FFFFFF"/>
        </w:rPr>
        <w:t>教职工“</w:t>
      </w:r>
      <w:r>
        <w:rPr>
          <w:rFonts w:hint="eastAsia" w:eastAsia="仿宋"/>
          <w:sz w:val="28"/>
          <w:szCs w:val="28"/>
          <w:shd w:val="clear" w:color="auto" w:fill="FFFFFF"/>
        </w:rPr>
        <w:t>年度基本工作任务</w:t>
      </w:r>
      <w:r>
        <w:rPr>
          <w:rFonts w:eastAsia="仿宋"/>
          <w:sz w:val="28"/>
          <w:szCs w:val="28"/>
          <w:shd w:val="clear" w:color="auto" w:fill="FFFFFF"/>
        </w:rPr>
        <w:t>”</w:t>
      </w:r>
      <w:r>
        <w:rPr>
          <w:rFonts w:hint="eastAsia" w:eastAsia="仿宋"/>
          <w:sz w:val="28"/>
          <w:szCs w:val="28"/>
          <w:shd w:val="clear" w:color="auto" w:fill="FFFFFF"/>
        </w:rPr>
        <w:t>考核</w:t>
      </w:r>
      <w:r>
        <w:rPr>
          <w:rFonts w:eastAsia="仿宋"/>
          <w:sz w:val="28"/>
          <w:szCs w:val="28"/>
          <w:shd w:val="clear" w:color="auto" w:fill="FFFFFF"/>
        </w:rPr>
        <w:t>情况公示后报</w:t>
      </w:r>
      <w:r>
        <w:rPr>
          <w:rFonts w:hint="eastAsia" w:eastAsia="仿宋"/>
          <w:sz w:val="28"/>
          <w:szCs w:val="28"/>
          <w:shd w:val="clear" w:color="auto" w:fill="FFFFFF"/>
        </w:rPr>
        <w:t>办公室备案</w:t>
      </w:r>
      <w:r>
        <w:rPr>
          <w:rFonts w:eastAsia="仿宋"/>
          <w:sz w:val="28"/>
          <w:szCs w:val="28"/>
          <w:shd w:val="clear" w:color="auto" w:fill="FFFFFF"/>
        </w:rPr>
        <w:t>。</w:t>
      </w:r>
    </w:p>
    <w:p>
      <w:pPr>
        <w:snapToGrid w:val="0"/>
        <w:spacing w:line="520" w:lineRule="exact"/>
        <w:ind w:firstLine="560" w:firstLineChars="200"/>
        <w:rPr>
          <w:rFonts w:eastAsia="仿宋"/>
          <w:sz w:val="28"/>
          <w:szCs w:val="28"/>
          <w:highlight w:val="none"/>
        </w:rPr>
      </w:pPr>
      <w:bookmarkStart w:id="1" w:name="_GoBack"/>
      <w:r>
        <w:rPr>
          <w:rFonts w:eastAsia="仿宋"/>
          <w:sz w:val="28"/>
          <w:szCs w:val="28"/>
          <w:highlight w:val="none"/>
        </w:rPr>
        <w:t>1.岗位基本工作量标准和考核</w:t>
      </w:r>
    </w:p>
    <w:p>
      <w:pPr>
        <w:snapToGrid w:val="0"/>
        <w:spacing w:line="520" w:lineRule="exact"/>
        <w:ind w:firstLine="560" w:firstLineChars="200"/>
        <w:rPr>
          <w:rFonts w:eastAsia="仿宋"/>
          <w:sz w:val="28"/>
          <w:szCs w:val="28"/>
          <w:highlight w:val="none"/>
          <w:shd w:val="clear" w:color="auto" w:fill="FFFFFF"/>
        </w:rPr>
      </w:pPr>
      <w:r>
        <w:rPr>
          <w:rFonts w:hint="eastAsia" w:eastAsia="仿宋"/>
          <w:sz w:val="28"/>
          <w:szCs w:val="28"/>
          <w:highlight w:val="none"/>
        </w:rPr>
        <w:t>（1）</w:t>
      </w:r>
      <w:r>
        <w:rPr>
          <w:rFonts w:eastAsia="仿宋"/>
          <w:sz w:val="28"/>
          <w:szCs w:val="28"/>
          <w:highlight w:val="none"/>
        </w:rPr>
        <w:t>专业教师岗</w:t>
      </w:r>
      <w:r>
        <w:rPr>
          <w:rFonts w:hint="eastAsia" w:eastAsia="仿宋"/>
          <w:sz w:val="28"/>
          <w:szCs w:val="28"/>
          <w:highlight w:val="none"/>
        </w:rPr>
        <w:t>，</w:t>
      </w:r>
      <w:r>
        <w:rPr>
          <w:rFonts w:eastAsia="仿宋"/>
          <w:kern w:val="0"/>
          <w:sz w:val="28"/>
          <w:szCs w:val="28"/>
          <w:highlight w:val="none"/>
        </w:rPr>
        <w:t>年度绩效评价</w:t>
      </w:r>
      <w:r>
        <w:rPr>
          <w:rFonts w:hint="eastAsia" w:eastAsia="仿宋"/>
          <w:sz w:val="28"/>
          <w:szCs w:val="28"/>
          <w:highlight w:val="none"/>
          <w:shd w:val="clear" w:color="auto" w:fill="FFFFFF"/>
        </w:rPr>
        <w:t>按照各级档基本工作任务标准进行以定量为主，定性与定量相结合的量化考核，</w:t>
      </w:r>
      <w:r>
        <w:rPr>
          <w:rFonts w:eastAsia="仿宋"/>
          <w:sz w:val="28"/>
          <w:szCs w:val="28"/>
          <w:highlight w:val="none"/>
        </w:rPr>
        <w:t>“</w:t>
      </w:r>
      <w:r>
        <w:rPr>
          <w:rFonts w:hint="eastAsia" w:eastAsia="仿宋"/>
          <w:sz w:val="28"/>
          <w:szCs w:val="28"/>
          <w:highlight w:val="none"/>
        </w:rPr>
        <w:t>年度基本工作任务</w:t>
      </w:r>
      <w:r>
        <w:rPr>
          <w:rFonts w:eastAsia="仿宋"/>
          <w:sz w:val="28"/>
          <w:szCs w:val="28"/>
          <w:highlight w:val="none"/>
        </w:rPr>
        <w:t>”</w:t>
      </w:r>
      <w:r>
        <w:rPr>
          <w:rFonts w:eastAsia="仿宋"/>
          <w:sz w:val="28"/>
          <w:szCs w:val="28"/>
          <w:highlight w:val="none"/>
          <w:shd w:val="clear" w:color="auto" w:fill="FFFFFF"/>
        </w:rPr>
        <w:t>由</w:t>
      </w:r>
      <w:r>
        <w:rPr>
          <w:rFonts w:hint="eastAsia" w:eastAsia="仿宋"/>
          <w:sz w:val="28"/>
          <w:szCs w:val="28"/>
          <w:highlight w:val="none"/>
          <w:shd w:val="clear" w:color="auto" w:fill="FFFFFF"/>
        </w:rPr>
        <w:t>基本教学</w:t>
      </w:r>
      <w:r>
        <w:rPr>
          <w:rFonts w:eastAsia="仿宋"/>
          <w:sz w:val="28"/>
          <w:szCs w:val="28"/>
          <w:highlight w:val="none"/>
          <w:shd w:val="clear" w:color="auto" w:fill="FFFFFF"/>
        </w:rPr>
        <w:t>工作量业绩、</w:t>
      </w:r>
      <w:r>
        <w:rPr>
          <w:rFonts w:hint="eastAsia" w:eastAsia="仿宋"/>
          <w:sz w:val="28"/>
          <w:szCs w:val="28"/>
          <w:highlight w:val="none"/>
          <w:shd w:val="clear" w:color="auto" w:fill="FFFFFF"/>
        </w:rPr>
        <w:t>基本</w:t>
      </w:r>
      <w:r>
        <w:rPr>
          <w:rFonts w:eastAsia="仿宋"/>
          <w:sz w:val="28"/>
          <w:szCs w:val="28"/>
          <w:highlight w:val="none"/>
          <w:shd w:val="clear" w:color="auto" w:fill="FFFFFF"/>
        </w:rPr>
        <w:t>成果</w:t>
      </w:r>
      <w:r>
        <w:rPr>
          <w:rFonts w:hint="eastAsia" w:eastAsia="仿宋"/>
          <w:sz w:val="28"/>
          <w:szCs w:val="28"/>
          <w:highlight w:val="none"/>
          <w:shd w:val="clear" w:color="auto" w:fill="FFFFFF"/>
        </w:rPr>
        <w:t>类</w:t>
      </w:r>
      <w:r>
        <w:rPr>
          <w:rFonts w:eastAsia="仿宋"/>
          <w:sz w:val="28"/>
          <w:szCs w:val="28"/>
          <w:highlight w:val="none"/>
          <w:shd w:val="clear" w:color="auto" w:fill="FFFFFF"/>
        </w:rPr>
        <w:t>业绩、</w:t>
      </w:r>
      <w:r>
        <w:rPr>
          <w:rFonts w:hint="eastAsia" w:eastAsia="仿宋"/>
          <w:sz w:val="28"/>
          <w:szCs w:val="28"/>
          <w:highlight w:val="none"/>
          <w:shd w:val="clear" w:color="auto" w:fill="FFFFFF"/>
        </w:rPr>
        <w:t>基本公共</w:t>
      </w:r>
      <w:r>
        <w:rPr>
          <w:rFonts w:eastAsia="仿宋"/>
          <w:sz w:val="28"/>
          <w:szCs w:val="28"/>
          <w:highlight w:val="none"/>
          <w:shd w:val="clear" w:color="auto" w:fill="FFFFFF"/>
        </w:rPr>
        <w:t>服务业绩三部分组成</w:t>
      </w:r>
      <w:r>
        <w:rPr>
          <w:rFonts w:hint="eastAsia" w:eastAsia="仿宋"/>
          <w:sz w:val="28"/>
          <w:szCs w:val="28"/>
          <w:highlight w:val="none"/>
          <w:shd w:val="clear" w:color="auto" w:fill="FFFFFF"/>
        </w:rPr>
        <w:t>。详见附件1。</w:t>
      </w:r>
    </w:p>
    <w:p>
      <w:pPr>
        <w:snapToGrid w:val="0"/>
        <w:spacing w:line="520" w:lineRule="exact"/>
        <w:ind w:firstLine="560" w:firstLineChars="200"/>
        <w:rPr>
          <w:rFonts w:eastAsia="仿宋"/>
          <w:sz w:val="28"/>
          <w:szCs w:val="28"/>
          <w:highlight w:val="none"/>
        </w:rPr>
      </w:pPr>
      <w:r>
        <w:rPr>
          <w:rFonts w:eastAsia="仿宋"/>
          <w:sz w:val="28"/>
          <w:szCs w:val="28"/>
          <w:highlight w:val="none"/>
        </w:rPr>
        <w:t>（2）</w:t>
      </w:r>
      <w:r>
        <w:rPr>
          <w:rFonts w:hint="eastAsia" w:eastAsia="仿宋"/>
          <w:sz w:val="28"/>
          <w:szCs w:val="28"/>
          <w:highlight w:val="none"/>
        </w:rPr>
        <w:t>专职辅导员岗</w:t>
      </w:r>
      <w:r>
        <w:rPr>
          <w:rFonts w:eastAsia="仿宋"/>
          <w:sz w:val="28"/>
          <w:szCs w:val="28"/>
          <w:highlight w:val="none"/>
        </w:rPr>
        <w:t>，</w:t>
      </w:r>
      <w:r>
        <w:rPr>
          <w:rFonts w:eastAsia="仿宋"/>
          <w:kern w:val="0"/>
          <w:sz w:val="28"/>
          <w:szCs w:val="28"/>
          <w:highlight w:val="none"/>
        </w:rPr>
        <w:t>年度绩效评价</w:t>
      </w:r>
      <w:r>
        <w:rPr>
          <w:rFonts w:eastAsia="仿宋"/>
          <w:sz w:val="28"/>
          <w:szCs w:val="28"/>
          <w:highlight w:val="none"/>
        </w:rPr>
        <w:t>采取量化考核与定性考核相结合的方式，</w:t>
      </w:r>
      <w:r>
        <w:rPr>
          <w:rFonts w:hint="eastAsia" w:eastAsia="仿宋"/>
          <w:sz w:val="28"/>
          <w:szCs w:val="28"/>
          <w:highlight w:val="none"/>
          <w:shd w:val="clear" w:color="auto" w:fill="FFFFFF"/>
        </w:rPr>
        <w:t>选择专技岗须完成学院下达的教学任务，</w:t>
      </w:r>
      <w:r>
        <w:rPr>
          <w:rFonts w:eastAsia="仿宋"/>
          <w:sz w:val="28"/>
          <w:szCs w:val="28"/>
          <w:highlight w:val="none"/>
        </w:rPr>
        <w:t>由院学生工作处</w:t>
      </w:r>
      <w:r>
        <w:rPr>
          <w:rFonts w:hint="eastAsia" w:eastAsia="仿宋"/>
          <w:sz w:val="28"/>
          <w:szCs w:val="28"/>
          <w:highlight w:val="none"/>
          <w:shd w:val="clear" w:color="auto" w:fill="FFFFFF"/>
        </w:rPr>
        <w:t>结合第二轮定档结果</w:t>
      </w:r>
      <w:r>
        <w:rPr>
          <w:rFonts w:eastAsia="仿宋"/>
          <w:sz w:val="28"/>
          <w:szCs w:val="28"/>
          <w:highlight w:val="none"/>
        </w:rPr>
        <w:t>修订完善</w:t>
      </w:r>
      <w:r>
        <w:rPr>
          <w:rFonts w:hint="eastAsia" w:eastAsia="仿宋"/>
          <w:sz w:val="28"/>
          <w:szCs w:val="28"/>
          <w:highlight w:val="none"/>
          <w:shd w:val="clear" w:color="auto" w:fill="FFFFFF"/>
        </w:rPr>
        <w:t>各档级</w:t>
      </w:r>
      <w:r>
        <w:rPr>
          <w:rFonts w:eastAsia="仿宋"/>
          <w:sz w:val="28"/>
          <w:szCs w:val="28"/>
          <w:highlight w:val="none"/>
        </w:rPr>
        <w:t>年度基本工作任务要求，并组织年度绩效评价。完成年度基本工作任务的</w:t>
      </w:r>
      <w:r>
        <w:rPr>
          <w:rFonts w:hint="eastAsia" w:eastAsia="仿宋"/>
          <w:sz w:val="28"/>
          <w:szCs w:val="28"/>
          <w:highlight w:val="none"/>
        </w:rPr>
        <w:t>辅导员</w:t>
      </w:r>
      <w:r>
        <w:rPr>
          <w:rFonts w:eastAsia="仿宋"/>
          <w:sz w:val="28"/>
          <w:szCs w:val="28"/>
          <w:highlight w:val="none"/>
        </w:rPr>
        <w:t>，年度绩效评价为达标；对于未完成年度基本工作任务的</w:t>
      </w:r>
      <w:r>
        <w:rPr>
          <w:rFonts w:hint="eastAsia" w:eastAsia="仿宋"/>
          <w:sz w:val="28"/>
          <w:szCs w:val="28"/>
          <w:highlight w:val="none"/>
        </w:rPr>
        <w:t>辅导员</w:t>
      </w:r>
      <w:r>
        <w:rPr>
          <w:rFonts w:eastAsia="仿宋"/>
          <w:sz w:val="28"/>
          <w:szCs w:val="28"/>
          <w:highlight w:val="none"/>
        </w:rPr>
        <w:t>，须计算其年度基本工作任务完成比例。</w:t>
      </w:r>
      <w:r>
        <w:rPr>
          <w:rFonts w:hint="eastAsia" w:eastAsia="仿宋"/>
          <w:sz w:val="28"/>
          <w:szCs w:val="28"/>
          <w:highlight w:val="none"/>
          <w:shd w:val="clear" w:color="auto" w:fill="FFFFFF"/>
        </w:rPr>
        <w:t>如当年度因特殊情况未完成教学任务的，相关业绩要求计入次年。第二轮定档周期结束后仍未完成教学任务的，下轮定档不得选择专职辅导员专技岗。</w:t>
      </w:r>
    </w:p>
    <w:p>
      <w:pPr>
        <w:snapToGrid w:val="0"/>
        <w:spacing w:line="520" w:lineRule="exact"/>
        <w:ind w:firstLine="560" w:firstLineChars="200"/>
        <w:rPr>
          <w:rFonts w:eastAsia="仿宋"/>
          <w:kern w:val="0"/>
          <w:sz w:val="28"/>
          <w:szCs w:val="28"/>
          <w:highlight w:val="none"/>
        </w:rPr>
      </w:pPr>
      <w:r>
        <w:rPr>
          <w:rFonts w:eastAsia="仿宋"/>
          <w:sz w:val="28"/>
          <w:szCs w:val="28"/>
          <w:highlight w:val="none"/>
        </w:rPr>
        <w:t>（3）党政管理等</w:t>
      </w:r>
      <w:r>
        <w:rPr>
          <w:rFonts w:eastAsia="仿宋"/>
          <w:kern w:val="0"/>
          <w:sz w:val="28"/>
          <w:szCs w:val="28"/>
          <w:highlight w:val="none"/>
        </w:rPr>
        <w:t>其他非教学科研岗人员岗</w:t>
      </w:r>
      <w:r>
        <w:rPr>
          <w:rFonts w:hint="eastAsia" w:eastAsia="仿宋"/>
          <w:kern w:val="0"/>
          <w:sz w:val="28"/>
          <w:szCs w:val="28"/>
          <w:highlight w:val="none"/>
        </w:rPr>
        <w:t>，</w:t>
      </w:r>
      <w:r>
        <w:rPr>
          <w:rFonts w:eastAsia="仿宋"/>
          <w:kern w:val="0"/>
          <w:sz w:val="28"/>
          <w:szCs w:val="28"/>
          <w:highlight w:val="none"/>
        </w:rPr>
        <w:t>年度绩效评价以定性考核为主，主要以在岗出勤、履行职责、师生满意度、完成工作任务等情况为依据，由所在部门结合年度考核结果确定</w:t>
      </w:r>
      <w:r>
        <w:rPr>
          <w:rFonts w:hint="eastAsia" w:eastAsia="仿宋"/>
          <w:kern w:val="0"/>
          <w:sz w:val="28"/>
          <w:szCs w:val="28"/>
          <w:highlight w:val="none"/>
        </w:rPr>
        <w:t>。</w:t>
      </w:r>
      <w:r>
        <w:rPr>
          <w:rFonts w:eastAsia="仿宋"/>
          <w:kern w:val="0"/>
          <w:sz w:val="28"/>
          <w:szCs w:val="28"/>
          <w:highlight w:val="none"/>
        </w:rPr>
        <w:t>年度绩效评价结果分达标、基本达标、不达标三个等级。</w:t>
      </w:r>
    </w:p>
    <w:p>
      <w:pPr>
        <w:snapToGrid w:val="0"/>
        <w:spacing w:line="520" w:lineRule="exact"/>
        <w:ind w:firstLine="560" w:firstLineChars="200"/>
        <w:rPr>
          <w:rFonts w:eastAsia="仿宋"/>
          <w:sz w:val="28"/>
          <w:szCs w:val="28"/>
          <w:highlight w:val="none"/>
        </w:rPr>
      </w:pPr>
      <w:r>
        <w:rPr>
          <w:rFonts w:eastAsia="仿宋"/>
          <w:sz w:val="28"/>
          <w:szCs w:val="28"/>
          <w:highlight w:val="none"/>
        </w:rPr>
        <w:t>2.计发办法</w:t>
      </w:r>
    </w:p>
    <w:p>
      <w:pPr>
        <w:snapToGrid w:val="0"/>
        <w:spacing w:line="520" w:lineRule="exact"/>
        <w:ind w:firstLine="560" w:firstLineChars="200"/>
        <w:rPr>
          <w:rFonts w:eastAsia="仿宋"/>
          <w:sz w:val="28"/>
          <w:szCs w:val="28"/>
          <w:highlight w:val="none"/>
        </w:rPr>
      </w:pPr>
      <w:r>
        <w:rPr>
          <w:rFonts w:eastAsia="仿宋"/>
          <w:sz w:val="28"/>
          <w:szCs w:val="28"/>
          <w:highlight w:val="none"/>
        </w:rPr>
        <w:t>岗位奖励津贴根据教职工所聘任的岗位和级别，以完成岗位任务情况和完成质量为导向，根据岗位绩效定档的级档系数（含管理职责系数），与岗位奖励津贴单价（按学校年度的执行标准）以及出勤情况参照学校计发方式进行。对年度绩效评价结果未达标人员</w:t>
      </w:r>
      <w:r>
        <w:rPr>
          <w:rFonts w:hint="eastAsia" w:eastAsia="仿宋"/>
          <w:sz w:val="28"/>
          <w:szCs w:val="28"/>
          <w:highlight w:val="none"/>
          <w:shd w:val="clear" w:color="auto" w:fill="FFFFFF"/>
        </w:rPr>
        <w:t>按完成比例予以结算</w:t>
      </w:r>
      <w:r>
        <w:rPr>
          <w:rFonts w:hint="eastAsia" w:eastAsia="仿宋"/>
          <w:sz w:val="28"/>
          <w:szCs w:val="28"/>
          <w:highlight w:val="none"/>
        </w:rPr>
        <w:t>，</w:t>
      </w:r>
      <w:r>
        <w:rPr>
          <w:rFonts w:eastAsia="仿宋"/>
          <w:sz w:val="28"/>
          <w:szCs w:val="28"/>
          <w:highlight w:val="none"/>
        </w:rPr>
        <w:t>岗位奖励津贴学院〔管委会〕为主进行管理和分配</w:t>
      </w:r>
      <w:r>
        <w:rPr>
          <w:rFonts w:hint="eastAsia" w:eastAsia="仿宋"/>
          <w:sz w:val="28"/>
          <w:szCs w:val="28"/>
          <w:highlight w:val="none"/>
        </w:rPr>
        <w:t>。</w:t>
      </w:r>
    </w:p>
    <w:p>
      <w:pPr>
        <w:snapToGrid w:val="0"/>
        <w:spacing w:line="520" w:lineRule="exact"/>
        <w:ind w:firstLine="560" w:firstLineChars="200"/>
        <w:rPr>
          <w:rFonts w:eastAsia="仿宋"/>
          <w:sz w:val="28"/>
          <w:szCs w:val="28"/>
          <w:highlight w:val="none"/>
        </w:rPr>
      </w:pPr>
      <w:r>
        <w:rPr>
          <w:rFonts w:hint="eastAsia" w:eastAsia="仿宋"/>
          <w:sz w:val="28"/>
          <w:szCs w:val="28"/>
          <w:highlight w:val="none"/>
        </w:rPr>
        <w:t>（1）第二轮聘期岗位绩效定档2023年1-11月岗位奖励津贴经费，结合</w:t>
      </w:r>
      <w:r>
        <w:rPr>
          <w:rFonts w:eastAsia="仿宋"/>
          <w:sz w:val="28"/>
          <w:szCs w:val="28"/>
          <w:highlight w:val="none"/>
        </w:rPr>
        <w:t>教职工</w:t>
      </w:r>
      <w:r>
        <w:rPr>
          <w:rFonts w:hint="eastAsia" w:eastAsia="仿宋"/>
          <w:sz w:val="28"/>
          <w:szCs w:val="28"/>
          <w:highlight w:val="none"/>
        </w:rPr>
        <w:t>年度基本工作任务完成</w:t>
      </w:r>
      <w:r>
        <w:rPr>
          <w:rFonts w:eastAsia="仿宋"/>
          <w:sz w:val="28"/>
          <w:szCs w:val="28"/>
          <w:highlight w:val="none"/>
        </w:rPr>
        <w:t>情况予以结算</w:t>
      </w:r>
      <w:r>
        <w:rPr>
          <w:rFonts w:hint="eastAsia" w:eastAsia="仿宋"/>
          <w:sz w:val="28"/>
          <w:szCs w:val="28"/>
          <w:highlight w:val="none"/>
        </w:rPr>
        <w:t>。</w:t>
      </w:r>
    </w:p>
    <w:p>
      <w:pPr>
        <w:snapToGrid w:val="0"/>
        <w:spacing w:line="520" w:lineRule="exact"/>
        <w:ind w:firstLine="560" w:firstLineChars="200"/>
        <w:rPr>
          <w:rFonts w:eastAsia="仿宋"/>
          <w:sz w:val="28"/>
          <w:szCs w:val="28"/>
          <w:shd w:val="clear" w:color="auto" w:fill="FFFFFF"/>
        </w:rPr>
      </w:pPr>
      <w:r>
        <w:rPr>
          <w:rFonts w:hint="eastAsia" w:eastAsia="仿宋"/>
          <w:sz w:val="28"/>
          <w:szCs w:val="28"/>
          <w:highlight w:val="none"/>
        </w:rPr>
        <w:t>（2）</w:t>
      </w:r>
      <w:r>
        <w:rPr>
          <w:rFonts w:eastAsia="仿宋"/>
          <w:sz w:val="28"/>
          <w:szCs w:val="28"/>
          <w:highlight w:val="none"/>
        </w:rPr>
        <w:t>经学校批准的上级单位借调、学校派出挂职锻炼</w:t>
      </w:r>
      <w:r>
        <w:rPr>
          <w:rFonts w:hint="eastAsia" w:eastAsia="仿宋"/>
          <w:sz w:val="28"/>
          <w:szCs w:val="28"/>
          <w:highlight w:val="none"/>
        </w:rPr>
        <w:t>人员，</w:t>
      </w:r>
      <w:r>
        <w:rPr>
          <w:rFonts w:hint="eastAsia" w:eastAsia="仿宋"/>
          <w:sz w:val="28"/>
          <w:szCs w:val="28"/>
          <w:highlight w:val="none"/>
          <w:shd w:val="clear" w:color="auto" w:fill="FFFFFF"/>
        </w:rPr>
        <w:t>相关工作量和考核要求按照上级相关规定和其与学院</w:t>
      </w:r>
      <w:bookmarkEnd w:id="1"/>
      <w:r>
        <w:rPr>
          <w:rFonts w:hint="eastAsia" w:eastAsia="仿宋"/>
          <w:sz w:val="28"/>
          <w:szCs w:val="28"/>
          <w:shd w:val="clear" w:color="auto" w:fill="FFFFFF"/>
        </w:rPr>
        <w:t>签订的协议执行。</w:t>
      </w:r>
    </w:p>
    <w:p>
      <w:pPr>
        <w:snapToGrid w:val="0"/>
        <w:spacing w:line="520" w:lineRule="exact"/>
        <w:ind w:firstLine="560" w:firstLineChars="200"/>
        <w:rPr>
          <w:rFonts w:eastAsia="仿宋"/>
          <w:sz w:val="28"/>
          <w:szCs w:val="28"/>
        </w:rPr>
      </w:pPr>
      <w:r>
        <w:rPr>
          <w:rFonts w:hint="eastAsia" w:eastAsia="仿宋"/>
          <w:sz w:val="28"/>
          <w:szCs w:val="28"/>
        </w:rPr>
        <w:t>（</w:t>
      </w:r>
      <w:r>
        <w:rPr>
          <w:rFonts w:eastAsia="仿宋"/>
          <w:sz w:val="28"/>
          <w:szCs w:val="28"/>
        </w:rPr>
        <w:t>3</w:t>
      </w:r>
      <w:r>
        <w:rPr>
          <w:rFonts w:hint="eastAsia" w:eastAsia="仿宋"/>
          <w:sz w:val="28"/>
          <w:szCs w:val="28"/>
        </w:rPr>
        <w:t>）</w:t>
      </w:r>
      <w:r>
        <w:rPr>
          <w:rFonts w:eastAsia="仿宋"/>
          <w:sz w:val="28"/>
          <w:szCs w:val="28"/>
        </w:rPr>
        <w:t>享受学术假人员、工伤法定医疗期、法定产假期等，岗位奖励津贴正常计发</w:t>
      </w:r>
      <w:r>
        <w:rPr>
          <w:rFonts w:hint="eastAsia" w:eastAsia="仿宋"/>
          <w:sz w:val="28"/>
          <w:szCs w:val="28"/>
        </w:rPr>
        <w:t>。</w:t>
      </w:r>
    </w:p>
    <w:p>
      <w:pPr>
        <w:snapToGrid w:val="0"/>
        <w:spacing w:line="520" w:lineRule="exact"/>
        <w:ind w:firstLine="560" w:firstLineChars="200"/>
        <w:rPr>
          <w:rFonts w:eastAsia="仿宋"/>
          <w:sz w:val="28"/>
          <w:szCs w:val="28"/>
        </w:rPr>
      </w:pPr>
      <w:r>
        <w:rPr>
          <w:rFonts w:eastAsia="仿宋"/>
          <w:sz w:val="28"/>
          <w:szCs w:val="28"/>
        </w:rPr>
        <w:t>（4）对年度考核结果为“优秀”者，参照学校当年相关标准予以奖励。</w:t>
      </w:r>
    </w:p>
    <w:p>
      <w:pPr>
        <w:snapToGrid w:val="0"/>
        <w:spacing w:line="520" w:lineRule="exact"/>
        <w:ind w:firstLine="560" w:firstLineChars="200"/>
        <w:rPr>
          <w:rFonts w:eastAsia="仿宋"/>
          <w:sz w:val="28"/>
          <w:szCs w:val="28"/>
        </w:rPr>
      </w:pPr>
      <w:r>
        <w:rPr>
          <w:rFonts w:eastAsia="仿宋"/>
          <w:sz w:val="28"/>
          <w:szCs w:val="28"/>
        </w:rPr>
        <w:t>（5）</w:t>
      </w:r>
      <w:r>
        <w:rPr>
          <w:rFonts w:eastAsia="仿宋"/>
          <w:kern w:val="0"/>
          <w:sz w:val="28"/>
          <w:szCs w:val="28"/>
        </w:rPr>
        <w:t>年度绩效评价结果为达标的人员，全额享受全年岗位奖励津贴。</w:t>
      </w:r>
      <w:r>
        <w:rPr>
          <w:rFonts w:eastAsia="仿宋"/>
          <w:sz w:val="28"/>
          <w:szCs w:val="28"/>
        </w:rPr>
        <w:t>专业教师岗位</w:t>
      </w:r>
      <w:r>
        <w:rPr>
          <w:rFonts w:hint="eastAsia" w:eastAsia="仿宋"/>
          <w:sz w:val="28"/>
          <w:szCs w:val="28"/>
        </w:rPr>
        <w:t>、专职辅导员岗</w:t>
      </w:r>
      <w:r>
        <w:rPr>
          <w:rFonts w:eastAsia="仿宋"/>
          <w:sz w:val="28"/>
          <w:szCs w:val="28"/>
        </w:rPr>
        <w:t>未完成年度基本工作任务的，按其年度基本工作任务实际完成比例结算全年岗位奖励津贴。党政管理等</w:t>
      </w:r>
      <w:r>
        <w:rPr>
          <w:rFonts w:eastAsia="仿宋"/>
          <w:kern w:val="0"/>
          <w:sz w:val="28"/>
          <w:szCs w:val="28"/>
        </w:rPr>
        <w:t>其他非教学科研岗人员岗</w:t>
      </w:r>
      <w:r>
        <w:rPr>
          <w:rFonts w:eastAsia="仿宋"/>
          <w:sz w:val="28"/>
          <w:szCs w:val="28"/>
        </w:rPr>
        <w:t>年度绩效评价结果为基本达标的，全年岗位奖励津贴下调20%；不达标的下调50%。</w:t>
      </w:r>
    </w:p>
    <w:p>
      <w:pPr>
        <w:snapToGrid w:val="0"/>
        <w:spacing w:line="520" w:lineRule="exact"/>
        <w:ind w:firstLine="560" w:firstLineChars="200"/>
        <w:rPr>
          <w:rFonts w:eastAsia="仿宋"/>
          <w:sz w:val="28"/>
          <w:szCs w:val="28"/>
        </w:rPr>
      </w:pPr>
      <w:r>
        <w:rPr>
          <w:rFonts w:hint="eastAsia" w:eastAsia="仿宋"/>
          <w:sz w:val="28"/>
          <w:szCs w:val="28"/>
        </w:rPr>
        <w:t>（</w:t>
      </w:r>
      <w:r>
        <w:rPr>
          <w:rFonts w:eastAsia="仿宋"/>
          <w:sz w:val="28"/>
          <w:szCs w:val="28"/>
        </w:rPr>
        <w:t>6</w:t>
      </w:r>
      <w:r>
        <w:rPr>
          <w:rFonts w:hint="eastAsia" w:eastAsia="仿宋"/>
          <w:sz w:val="28"/>
          <w:szCs w:val="28"/>
        </w:rPr>
        <w:t>）</w:t>
      </w:r>
      <w:r>
        <w:rPr>
          <w:rFonts w:eastAsia="仿宋"/>
          <w:sz w:val="28"/>
          <w:szCs w:val="28"/>
        </w:rPr>
        <w:t>受聘学院科职及以上行政管理岗位，专业教师补贴50%教学工作量定额，实验技术岗补贴0.5个管理岗工作量。管理工作任务完成情况由其所在学部进行考核。</w:t>
      </w:r>
    </w:p>
    <w:p>
      <w:pPr>
        <w:snapToGrid w:val="0"/>
        <w:spacing w:line="520" w:lineRule="exact"/>
        <w:ind w:firstLine="560" w:firstLineChars="200"/>
        <w:rPr>
          <w:rFonts w:eastAsia="仿宋"/>
          <w:sz w:val="28"/>
          <w:szCs w:val="28"/>
        </w:rPr>
      </w:pPr>
      <w:r>
        <w:rPr>
          <w:rFonts w:eastAsia="仿宋"/>
          <w:sz w:val="28"/>
          <w:szCs w:val="28"/>
        </w:rPr>
        <w:t>（7）经批准攻读博士的教职工，在规定的学制内每月发放的岗位奖励津贴作为预发，年终根据工作任务完成情况进行结算，如其结算额小于全年预发额，则这部分差值累计至下年度进行结算。对于离职时仍未结清的部分须归还给学院。</w:t>
      </w:r>
    </w:p>
    <w:p>
      <w:pPr>
        <w:snapToGrid w:val="0"/>
        <w:spacing w:line="520" w:lineRule="exact"/>
        <w:ind w:firstLine="560" w:firstLineChars="200"/>
        <w:rPr>
          <w:rFonts w:eastAsia="仿宋"/>
          <w:sz w:val="28"/>
          <w:szCs w:val="28"/>
        </w:rPr>
      </w:pPr>
      <w:r>
        <w:rPr>
          <w:rFonts w:eastAsia="仿宋"/>
          <w:sz w:val="28"/>
          <w:szCs w:val="28"/>
        </w:rPr>
        <w:t>（8）学校本年度选派至杏林学院的教师，根据其全年教学工作量完成情况进行考核，并按照来院实际工作时间计发岗位绩效。</w:t>
      </w:r>
    </w:p>
    <w:p>
      <w:pPr>
        <w:snapToGrid w:val="0"/>
        <w:spacing w:line="520" w:lineRule="exact"/>
        <w:ind w:firstLine="560" w:firstLineChars="200"/>
        <w:rPr>
          <w:rFonts w:eastAsia="仿宋"/>
          <w:sz w:val="28"/>
          <w:szCs w:val="28"/>
        </w:rPr>
      </w:pPr>
      <w:r>
        <w:rPr>
          <w:rFonts w:hint="eastAsia" w:eastAsia="仿宋"/>
          <w:sz w:val="28"/>
          <w:szCs w:val="28"/>
        </w:rPr>
        <w:t>（</w:t>
      </w:r>
      <w:r>
        <w:rPr>
          <w:rFonts w:eastAsia="仿宋"/>
          <w:sz w:val="28"/>
          <w:szCs w:val="28"/>
        </w:rPr>
        <w:t>9</w:t>
      </w:r>
      <w:r>
        <w:rPr>
          <w:rFonts w:hint="eastAsia" w:eastAsia="仿宋"/>
          <w:sz w:val="28"/>
          <w:szCs w:val="28"/>
        </w:rPr>
        <w:t>）其他扣发规定参见《岗位奖励津贴扣发办法》（附件2）。</w:t>
      </w:r>
    </w:p>
    <w:p>
      <w:pPr>
        <w:snapToGrid w:val="0"/>
        <w:spacing w:line="520" w:lineRule="exact"/>
        <w:ind w:firstLine="562" w:firstLineChars="200"/>
        <w:rPr>
          <w:rFonts w:eastAsia="仿宋"/>
          <w:b/>
          <w:bCs/>
          <w:sz w:val="28"/>
          <w:szCs w:val="28"/>
        </w:rPr>
      </w:pPr>
      <w:r>
        <w:rPr>
          <w:rFonts w:hint="eastAsia" w:eastAsia="仿宋"/>
          <w:b/>
          <w:bCs/>
          <w:sz w:val="28"/>
          <w:szCs w:val="28"/>
        </w:rPr>
        <w:t>七、</w:t>
      </w:r>
      <w:r>
        <w:rPr>
          <w:rFonts w:eastAsia="仿宋"/>
          <w:b/>
          <w:bCs/>
          <w:sz w:val="28"/>
          <w:szCs w:val="28"/>
        </w:rPr>
        <w:t>业绩奖励津贴</w:t>
      </w:r>
      <w:r>
        <w:rPr>
          <w:rFonts w:hint="eastAsia" w:eastAsia="仿宋"/>
          <w:b/>
          <w:bCs/>
          <w:sz w:val="28"/>
          <w:szCs w:val="28"/>
        </w:rPr>
        <w:t>经费划拨</w:t>
      </w:r>
    </w:p>
    <w:p>
      <w:pPr>
        <w:snapToGrid w:val="0"/>
        <w:spacing w:line="520" w:lineRule="exact"/>
        <w:ind w:firstLine="560" w:firstLineChars="200"/>
        <w:rPr>
          <w:rFonts w:eastAsia="仿宋"/>
          <w:sz w:val="28"/>
          <w:szCs w:val="28"/>
        </w:rPr>
      </w:pPr>
      <w:r>
        <w:rPr>
          <w:rFonts w:eastAsia="仿宋"/>
          <w:sz w:val="28"/>
          <w:szCs w:val="28"/>
          <w:shd w:val="clear" w:color="auto" w:fill="FFFFFF"/>
        </w:rPr>
        <w:t>业绩奖励津贴分配主要依据教职工完成工作数量与质量、取得的业绩等情况。</w:t>
      </w:r>
      <w:r>
        <w:rPr>
          <w:rFonts w:hint="eastAsia" w:eastAsia="仿宋"/>
          <w:sz w:val="28"/>
          <w:szCs w:val="28"/>
          <w:shd w:val="clear" w:color="auto" w:fill="FFFFFF"/>
        </w:rPr>
        <w:t>学院</w:t>
      </w:r>
      <w:r>
        <w:rPr>
          <w:rFonts w:eastAsia="仿宋"/>
          <w:sz w:val="28"/>
          <w:szCs w:val="28"/>
        </w:rPr>
        <w:t>对职能部门、各专业学部合理切块，结合工作任务目标完成情况和学院年度绩效成本进行划拨。学院年度绩效成本参照学校当年标准和做法，以当年度“学院教学工作基本量”的X%核算。划拨总量应扣除当年度绩效成本。业绩奖励津贴经费</w:t>
      </w:r>
      <w:r>
        <w:rPr>
          <w:rFonts w:hint="eastAsia" w:eastAsia="仿宋"/>
          <w:sz w:val="28"/>
          <w:szCs w:val="28"/>
        </w:rPr>
        <w:t>按</w:t>
      </w:r>
      <w:r>
        <w:rPr>
          <w:rFonts w:eastAsia="仿宋"/>
          <w:sz w:val="28"/>
          <w:szCs w:val="28"/>
        </w:rPr>
        <w:t>人事关系所属</w:t>
      </w:r>
      <w:r>
        <w:rPr>
          <w:rFonts w:hint="eastAsia" w:eastAsia="仿宋"/>
          <w:sz w:val="28"/>
          <w:szCs w:val="28"/>
        </w:rPr>
        <w:t>部门划拨，</w:t>
      </w:r>
      <w:r>
        <w:rPr>
          <w:rFonts w:eastAsia="仿宋"/>
          <w:sz w:val="28"/>
          <w:szCs w:val="28"/>
        </w:rPr>
        <w:t>各部门</w:t>
      </w:r>
      <w:r>
        <w:rPr>
          <w:rFonts w:hint="eastAsia" w:eastAsia="仿宋"/>
          <w:sz w:val="28"/>
          <w:szCs w:val="28"/>
        </w:rPr>
        <w:t>依据学院划拨的</w:t>
      </w:r>
      <w:r>
        <w:rPr>
          <w:rFonts w:eastAsia="仿宋"/>
          <w:sz w:val="28"/>
          <w:szCs w:val="28"/>
        </w:rPr>
        <w:t>各类业绩奖励</w:t>
      </w:r>
      <w:r>
        <w:rPr>
          <w:rFonts w:eastAsia="仿宋"/>
          <w:sz w:val="28"/>
          <w:szCs w:val="28"/>
          <w:shd w:val="clear" w:color="auto" w:fill="FFFFFF"/>
        </w:rPr>
        <w:t>津贴经费</w:t>
      </w:r>
      <w:r>
        <w:rPr>
          <w:rFonts w:hint="eastAsia" w:eastAsia="仿宋"/>
          <w:sz w:val="28"/>
          <w:szCs w:val="28"/>
          <w:shd w:val="clear" w:color="auto" w:fill="FFFFFF"/>
        </w:rPr>
        <w:t>总量</w:t>
      </w:r>
      <w:r>
        <w:rPr>
          <w:rFonts w:hint="eastAsia" w:eastAsia="仿宋"/>
          <w:sz w:val="28"/>
          <w:szCs w:val="28"/>
        </w:rPr>
        <w:t>，</w:t>
      </w:r>
      <w:r>
        <w:rPr>
          <w:rFonts w:eastAsia="仿宋"/>
          <w:sz w:val="28"/>
          <w:szCs w:val="28"/>
        </w:rPr>
        <w:t>依据教职工当年工作业绩、实际贡献等情况实行二次分配。</w:t>
      </w:r>
    </w:p>
    <w:p>
      <w:pPr>
        <w:snapToGrid w:val="0"/>
        <w:spacing w:line="520" w:lineRule="exact"/>
        <w:ind w:firstLine="562" w:firstLineChars="200"/>
        <w:rPr>
          <w:rFonts w:eastAsia="仿宋"/>
          <w:b/>
          <w:bCs/>
          <w:sz w:val="28"/>
          <w:szCs w:val="28"/>
        </w:rPr>
      </w:pPr>
      <w:r>
        <w:rPr>
          <w:rFonts w:hint="eastAsia" w:eastAsia="仿宋"/>
          <w:b/>
          <w:bCs/>
          <w:sz w:val="28"/>
          <w:szCs w:val="28"/>
        </w:rPr>
        <w:t>（一）职能部门口经费划拨</w:t>
      </w:r>
    </w:p>
    <w:p>
      <w:pPr>
        <w:snapToGrid w:val="0"/>
        <w:spacing w:line="520" w:lineRule="exact"/>
        <w:ind w:firstLine="560" w:firstLineChars="200"/>
        <w:rPr>
          <w:rFonts w:eastAsia="仿宋"/>
          <w:sz w:val="28"/>
          <w:szCs w:val="28"/>
        </w:rPr>
      </w:pPr>
      <w:r>
        <w:rPr>
          <w:rFonts w:eastAsia="仿宋"/>
          <w:sz w:val="28"/>
          <w:szCs w:val="28"/>
        </w:rPr>
        <w:t>职能部门业绩奖励津贴划拨</w:t>
      </w:r>
      <w:r>
        <w:rPr>
          <w:rFonts w:hint="eastAsia" w:eastAsia="仿宋"/>
          <w:sz w:val="28"/>
          <w:szCs w:val="28"/>
        </w:rPr>
        <w:t>，</w:t>
      </w:r>
      <w:r>
        <w:rPr>
          <w:rFonts w:eastAsia="仿宋"/>
          <w:sz w:val="28"/>
          <w:szCs w:val="28"/>
        </w:rPr>
        <w:t>一般以部门岗位教职工数为基础，一部分按照</w:t>
      </w:r>
      <w:r>
        <w:rPr>
          <w:rFonts w:hint="eastAsia" w:eastAsia="仿宋"/>
          <w:sz w:val="28"/>
          <w:szCs w:val="28"/>
        </w:rPr>
        <w:t>综合工作完成情况</w:t>
      </w:r>
      <w:r>
        <w:rPr>
          <w:rFonts w:eastAsia="仿宋"/>
          <w:sz w:val="28"/>
          <w:szCs w:val="28"/>
        </w:rPr>
        <w:t>划拨，另一部分根据岗位绩效定档的级档系数（含管理职责系数）等全额划拨。超过部门岗位应有教职工数的，按照教职工实际在岗情况核发划拨。</w:t>
      </w:r>
    </w:p>
    <w:p>
      <w:pPr>
        <w:snapToGrid w:val="0"/>
        <w:spacing w:line="520" w:lineRule="exact"/>
        <w:ind w:firstLine="560" w:firstLineChars="200"/>
        <w:rPr>
          <w:rFonts w:eastAsia="仿宋"/>
          <w:sz w:val="28"/>
          <w:szCs w:val="28"/>
        </w:rPr>
      </w:pPr>
      <w:r>
        <w:rPr>
          <w:rFonts w:eastAsia="仿宋"/>
          <w:sz w:val="28"/>
          <w:szCs w:val="28"/>
        </w:rPr>
        <w:t>由各职能部门依据教职工的出勤情况、工作量（工作强度、加班情况等因素）、工作质量（工作合作者的反馈和评价、差错率等因素）、工作效率（工作完成率、及时率等因素）、承担的公共服务情况、对教育管理研究做出的成果、相应专业技术岗位做出的成果及本部门认为需要考虑的因素等制定二次分配分配细则。</w:t>
      </w:r>
    </w:p>
    <w:p>
      <w:pPr>
        <w:snapToGrid w:val="0"/>
        <w:spacing w:line="520" w:lineRule="exact"/>
        <w:ind w:firstLine="560" w:firstLineChars="200"/>
        <w:rPr>
          <w:rFonts w:eastAsia="仿宋"/>
          <w:sz w:val="28"/>
          <w:szCs w:val="28"/>
          <w:shd w:val="clear" w:color="auto" w:fill="FFFFFF"/>
        </w:rPr>
      </w:pPr>
      <w:r>
        <w:rPr>
          <w:rFonts w:hint="eastAsia" w:eastAsia="仿宋"/>
          <w:sz w:val="28"/>
          <w:szCs w:val="28"/>
        </w:rPr>
        <w:t>对</w:t>
      </w:r>
      <w:r>
        <w:rPr>
          <w:rFonts w:eastAsia="仿宋"/>
          <w:sz w:val="28"/>
          <w:szCs w:val="28"/>
        </w:rPr>
        <w:t>年度</w:t>
      </w:r>
      <w:r>
        <w:rPr>
          <w:rFonts w:hint="eastAsia" w:eastAsia="仿宋"/>
          <w:sz w:val="28"/>
          <w:szCs w:val="28"/>
        </w:rPr>
        <w:t>绩效评价</w:t>
      </w:r>
      <w:r>
        <w:rPr>
          <w:rFonts w:eastAsia="仿宋"/>
          <w:sz w:val="28"/>
          <w:szCs w:val="28"/>
        </w:rPr>
        <w:t>结果</w:t>
      </w:r>
      <w:r>
        <w:rPr>
          <w:rFonts w:hint="eastAsia" w:eastAsia="仿宋"/>
          <w:sz w:val="28"/>
          <w:szCs w:val="28"/>
        </w:rPr>
        <w:t>达标的</w:t>
      </w:r>
      <w:r>
        <w:rPr>
          <w:rFonts w:eastAsia="仿宋"/>
          <w:sz w:val="28"/>
          <w:szCs w:val="28"/>
        </w:rPr>
        <w:t>，</w:t>
      </w:r>
      <w:r>
        <w:rPr>
          <w:rFonts w:hint="eastAsia" w:eastAsia="仿宋"/>
          <w:sz w:val="28"/>
          <w:szCs w:val="28"/>
        </w:rPr>
        <w:t>部门按照</w:t>
      </w:r>
      <w:r>
        <w:rPr>
          <w:rFonts w:eastAsia="仿宋"/>
          <w:sz w:val="28"/>
          <w:szCs w:val="28"/>
        </w:rPr>
        <w:t>二次分配标准</w:t>
      </w:r>
      <w:r>
        <w:rPr>
          <w:rFonts w:hint="eastAsia" w:eastAsia="仿宋"/>
          <w:sz w:val="28"/>
          <w:szCs w:val="28"/>
        </w:rPr>
        <w:t>发放</w:t>
      </w:r>
      <w:r>
        <w:rPr>
          <w:rFonts w:eastAsia="仿宋"/>
          <w:sz w:val="28"/>
          <w:szCs w:val="28"/>
        </w:rPr>
        <w:t>业绩奖励津贴。对年度绩效评价结果</w:t>
      </w:r>
      <w:r>
        <w:rPr>
          <w:rFonts w:hint="eastAsia" w:eastAsia="仿宋"/>
          <w:sz w:val="28"/>
          <w:szCs w:val="28"/>
        </w:rPr>
        <w:t>基本</w:t>
      </w:r>
      <w:r>
        <w:rPr>
          <w:rFonts w:eastAsia="仿宋"/>
          <w:sz w:val="28"/>
          <w:szCs w:val="28"/>
        </w:rPr>
        <w:t>达标的，</w:t>
      </w:r>
      <w:r>
        <w:rPr>
          <w:rFonts w:hint="eastAsia" w:eastAsia="仿宋"/>
          <w:sz w:val="28"/>
          <w:szCs w:val="28"/>
        </w:rPr>
        <w:t>建议个人</w:t>
      </w:r>
      <w:r>
        <w:rPr>
          <w:rFonts w:eastAsia="仿宋"/>
          <w:sz w:val="28"/>
          <w:szCs w:val="28"/>
        </w:rPr>
        <w:t>业绩奖励津贴</w:t>
      </w:r>
      <w:r>
        <w:rPr>
          <w:rFonts w:hint="eastAsia" w:eastAsia="仿宋"/>
          <w:sz w:val="28"/>
          <w:szCs w:val="28"/>
        </w:rPr>
        <w:t>按标准</w:t>
      </w:r>
      <w:r>
        <w:rPr>
          <w:rFonts w:eastAsia="仿宋"/>
          <w:sz w:val="28"/>
          <w:szCs w:val="28"/>
        </w:rPr>
        <w:t>下调</w:t>
      </w:r>
      <w:r>
        <w:rPr>
          <w:rFonts w:hint="eastAsia" w:eastAsia="仿宋"/>
          <w:sz w:val="28"/>
          <w:szCs w:val="28"/>
        </w:rPr>
        <w:t>20</w:t>
      </w:r>
      <w:r>
        <w:rPr>
          <w:rFonts w:eastAsia="仿宋"/>
          <w:sz w:val="28"/>
          <w:szCs w:val="28"/>
        </w:rPr>
        <w:t>%</w:t>
      </w:r>
      <w:r>
        <w:rPr>
          <w:rFonts w:hint="eastAsia" w:eastAsia="仿宋"/>
          <w:sz w:val="28"/>
          <w:szCs w:val="28"/>
        </w:rPr>
        <w:t>；</w:t>
      </w:r>
      <w:r>
        <w:rPr>
          <w:rFonts w:eastAsia="仿宋"/>
          <w:sz w:val="28"/>
          <w:szCs w:val="28"/>
        </w:rPr>
        <w:t>对年度绩效评价结果</w:t>
      </w:r>
      <w:r>
        <w:rPr>
          <w:rFonts w:hint="eastAsia" w:eastAsia="仿宋"/>
          <w:sz w:val="28"/>
          <w:szCs w:val="28"/>
        </w:rPr>
        <w:t>不</w:t>
      </w:r>
      <w:r>
        <w:rPr>
          <w:rFonts w:eastAsia="仿宋"/>
          <w:sz w:val="28"/>
          <w:szCs w:val="28"/>
        </w:rPr>
        <w:t>达标的</w:t>
      </w:r>
      <w:r>
        <w:rPr>
          <w:rFonts w:hint="eastAsia" w:eastAsia="仿宋"/>
          <w:sz w:val="28"/>
          <w:szCs w:val="28"/>
        </w:rPr>
        <w:t>，建议</w:t>
      </w:r>
      <w:r>
        <w:rPr>
          <w:rFonts w:eastAsia="仿宋"/>
          <w:sz w:val="28"/>
          <w:szCs w:val="28"/>
        </w:rPr>
        <w:t>个人业绩</w:t>
      </w:r>
      <w:r>
        <w:rPr>
          <w:rFonts w:hint="eastAsia" w:eastAsia="仿宋"/>
          <w:sz w:val="28"/>
          <w:szCs w:val="28"/>
        </w:rPr>
        <w:t>奖励</w:t>
      </w:r>
      <w:r>
        <w:rPr>
          <w:rFonts w:eastAsia="仿宋"/>
          <w:sz w:val="28"/>
          <w:szCs w:val="28"/>
        </w:rPr>
        <w:t>津贴停发</w:t>
      </w:r>
      <w:r>
        <w:rPr>
          <w:rFonts w:hint="eastAsia" w:eastAsia="仿宋"/>
          <w:sz w:val="28"/>
          <w:szCs w:val="28"/>
        </w:rPr>
        <w:t>。</w:t>
      </w:r>
    </w:p>
    <w:p>
      <w:pPr>
        <w:snapToGrid w:val="0"/>
        <w:spacing w:line="520" w:lineRule="exact"/>
        <w:ind w:firstLine="562" w:firstLineChars="200"/>
        <w:rPr>
          <w:rFonts w:eastAsia="仿宋"/>
          <w:b/>
          <w:bCs/>
          <w:sz w:val="28"/>
          <w:szCs w:val="28"/>
        </w:rPr>
      </w:pPr>
      <w:r>
        <w:rPr>
          <w:rFonts w:hint="eastAsia" w:eastAsia="仿宋"/>
          <w:b/>
          <w:bCs/>
          <w:sz w:val="28"/>
          <w:szCs w:val="28"/>
        </w:rPr>
        <w:t>（二）专业学部口经费划拨</w:t>
      </w:r>
    </w:p>
    <w:p>
      <w:pPr>
        <w:snapToGrid w:val="0"/>
        <w:spacing w:line="520" w:lineRule="exact"/>
        <w:ind w:firstLine="560" w:firstLineChars="200"/>
        <w:rPr>
          <w:rFonts w:eastAsia="仿宋"/>
          <w:sz w:val="28"/>
          <w:szCs w:val="28"/>
          <w:shd w:val="clear" w:color="auto" w:fill="FFFFFF"/>
        </w:rPr>
      </w:pPr>
      <w:r>
        <w:rPr>
          <w:rFonts w:eastAsia="仿宋"/>
          <w:sz w:val="28"/>
          <w:szCs w:val="28"/>
          <w:shd w:val="clear" w:color="auto" w:fill="FFFFFF"/>
        </w:rPr>
        <w:t>专业学部</w:t>
      </w:r>
      <w:r>
        <w:rPr>
          <w:rFonts w:hint="eastAsia" w:eastAsia="仿宋"/>
          <w:sz w:val="28"/>
          <w:szCs w:val="28"/>
          <w:shd w:val="clear" w:color="auto" w:fill="FFFFFF"/>
        </w:rPr>
        <w:t>分为教学科研岗和非教学科研岗。</w:t>
      </w:r>
    </w:p>
    <w:p>
      <w:pPr>
        <w:snapToGrid w:val="0"/>
        <w:spacing w:line="520" w:lineRule="exact"/>
        <w:ind w:firstLine="560" w:firstLineChars="200"/>
        <w:rPr>
          <w:rFonts w:eastAsia="仿宋"/>
          <w:sz w:val="28"/>
          <w:szCs w:val="28"/>
          <w:shd w:val="clear" w:color="auto" w:fill="FFFFFF"/>
        </w:rPr>
      </w:pPr>
      <w:r>
        <w:rPr>
          <w:rFonts w:eastAsia="仿宋"/>
          <w:sz w:val="28"/>
          <w:szCs w:val="28"/>
        </w:rPr>
        <w:t>1</w:t>
      </w:r>
      <w:r>
        <w:rPr>
          <w:rFonts w:hint="eastAsia" w:eastAsia="仿宋"/>
          <w:sz w:val="28"/>
          <w:szCs w:val="28"/>
        </w:rPr>
        <w:t>.专业教师</w:t>
      </w:r>
      <w:r>
        <w:rPr>
          <w:rFonts w:eastAsia="仿宋"/>
          <w:sz w:val="28"/>
          <w:szCs w:val="28"/>
        </w:rPr>
        <w:t>岗</w:t>
      </w:r>
      <w:r>
        <w:rPr>
          <w:rFonts w:hint="eastAsia" w:eastAsia="仿宋"/>
          <w:sz w:val="28"/>
          <w:szCs w:val="28"/>
        </w:rPr>
        <w:t>经费</w:t>
      </w:r>
      <w:r>
        <w:rPr>
          <w:rFonts w:eastAsia="仿宋"/>
          <w:sz w:val="28"/>
          <w:szCs w:val="28"/>
          <w:shd w:val="clear" w:color="auto" w:fill="FFFFFF"/>
        </w:rPr>
        <w:t>划拨分为：</w:t>
      </w:r>
      <w:r>
        <w:rPr>
          <w:rFonts w:hint="eastAsia" w:eastAsia="仿宋"/>
          <w:sz w:val="28"/>
          <w:szCs w:val="28"/>
          <w:shd w:val="clear" w:color="auto" w:fill="FFFFFF"/>
        </w:rPr>
        <w:t>教学工作量业绩津贴经费、成果类业绩津贴经费、公共服务及其他业绩津贴经费三部分组成。</w:t>
      </w:r>
    </w:p>
    <w:p>
      <w:pPr>
        <w:snapToGrid w:val="0"/>
        <w:spacing w:line="520" w:lineRule="exact"/>
        <w:ind w:firstLine="560" w:firstLineChars="200"/>
        <w:rPr>
          <w:rFonts w:eastAsia="仿宋"/>
          <w:sz w:val="28"/>
          <w:szCs w:val="28"/>
          <w:shd w:val="clear" w:color="auto" w:fill="FFFFFF"/>
        </w:rPr>
      </w:pPr>
      <w:r>
        <w:rPr>
          <w:rFonts w:hint="eastAsia" w:eastAsia="仿宋"/>
          <w:sz w:val="28"/>
          <w:szCs w:val="28"/>
          <w:shd w:val="clear" w:color="auto" w:fill="FFFFFF"/>
        </w:rPr>
        <w:t>（1）教学</w:t>
      </w:r>
      <w:r>
        <w:rPr>
          <w:rFonts w:eastAsia="仿宋"/>
          <w:sz w:val="28"/>
          <w:szCs w:val="28"/>
          <w:shd w:val="clear" w:color="auto" w:fill="FFFFFF"/>
        </w:rPr>
        <w:t>工作量业绩</w:t>
      </w:r>
      <w:r>
        <w:rPr>
          <w:rFonts w:hint="eastAsia" w:eastAsia="仿宋"/>
          <w:sz w:val="28"/>
          <w:szCs w:val="28"/>
          <w:shd w:val="clear" w:color="auto" w:fill="FFFFFF"/>
        </w:rPr>
        <w:t>津贴经费</w:t>
      </w:r>
    </w:p>
    <w:p>
      <w:pPr>
        <w:snapToGrid w:val="0"/>
        <w:spacing w:line="520" w:lineRule="exact"/>
        <w:ind w:firstLine="560" w:firstLineChars="200"/>
        <w:rPr>
          <w:rFonts w:eastAsia="仿宋"/>
          <w:sz w:val="28"/>
          <w:szCs w:val="28"/>
          <w:shd w:val="clear" w:color="auto" w:fill="FFFFFF"/>
        </w:rPr>
      </w:pPr>
      <w:r>
        <w:rPr>
          <w:rFonts w:hint="eastAsia" w:eastAsia="仿宋"/>
          <w:sz w:val="28"/>
          <w:szCs w:val="28"/>
          <w:shd w:val="clear" w:color="auto" w:fill="FFFFFF"/>
        </w:rPr>
        <w:t>结合在岗教师的岗位</w:t>
      </w:r>
      <w:r>
        <w:rPr>
          <w:rFonts w:eastAsia="仿宋"/>
          <w:sz w:val="28"/>
          <w:szCs w:val="28"/>
          <w:shd w:val="clear" w:color="auto" w:fill="FFFFFF"/>
        </w:rPr>
        <w:t>绩效定档系数</w:t>
      </w:r>
      <w:r>
        <w:rPr>
          <w:rFonts w:hint="eastAsia" w:eastAsia="仿宋"/>
          <w:sz w:val="28"/>
          <w:szCs w:val="28"/>
          <w:shd w:val="clear" w:color="auto" w:fill="FFFFFF"/>
        </w:rPr>
        <w:t>划拨：以教学工作量达标的教师为</w:t>
      </w:r>
      <w:r>
        <w:rPr>
          <w:rFonts w:eastAsia="仿宋"/>
          <w:sz w:val="28"/>
          <w:szCs w:val="28"/>
          <w:shd w:val="clear" w:color="auto" w:fill="FFFFFF"/>
        </w:rPr>
        <w:t>基数</w:t>
      </w:r>
      <w:r>
        <w:rPr>
          <w:rFonts w:hint="eastAsia" w:eastAsia="仿宋"/>
          <w:sz w:val="28"/>
          <w:szCs w:val="28"/>
          <w:shd w:val="clear" w:color="auto" w:fill="FFFFFF"/>
        </w:rPr>
        <w:t>，学部总</w:t>
      </w:r>
      <w:r>
        <w:rPr>
          <w:rFonts w:eastAsia="仿宋"/>
          <w:sz w:val="28"/>
          <w:szCs w:val="28"/>
          <w:shd w:val="clear" w:color="auto" w:fill="FFFFFF"/>
        </w:rPr>
        <w:t>教学工作量</w:t>
      </w:r>
      <w:r>
        <w:rPr>
          <w:rFonts w:hint="eastAsia" w:eastAsia="仿宋"/>
          <w:sz w:val="28"/>
          <w:szCs w:val="28"/>
          <w:shd w:val="clear" w:color="auto" w:fill="FFFFFF"/>
        </w:rPr>
        <w:t>达到</w:t>
      </w:r>
      <w:r>
        <w:rPr>
          <w:rFonts w:eastAsia="仿宋"/>
          <w:sz w:val="28"/>
          <w:szCs w:val="28"/>
          <w:shd w:val="clear" w:color="auto" w:fill="FFFFFF"/>
        </w:rPr>
        <w:t>“学院教学工作基本量”</w:t>
      </w:r>
      <w:r>
        <w:rPr>
          <w:rFonts w:hint="eastAsia" w:eastAsia="仿宋"/>
          <w:sz w:val="28"/>
          <w:szCs w:val="28"/>
          <w:shd w:val="clear" w:color="auto" w:fill="FFFFFF"/>
        </w:rPr>
        <w:t>标准的，经费全额划拨到</w:t>
      </w:r>
      <w:r>
        <w:rPr>
          <w:rFonts w:eastAsia="仿宋"/>
          <w:sz w:val="28"/>
          <w:szCs w:val="28"/>
          <w:shd w:val="clear" w:color="auto" w:fill="FFFFFF"/>
        </w:rPr>
        <w:t>学部</w:t>
      </w:r>
      <w:r>
        <w:rPr>
          <w:rFonts w:hint="eastAsia" w:eastAsia="仿宋"/>
          <w:sz w:val="28"/>
          <w:szCs w:val="28"/>
          <w:shd w:val="clear" w:color="auto" w:fill="FFFFFF"/>
        </w:rPr>
        <w:t>。对教学工作量基本达标的</w:t>
      </w:r>
      <w:r>
        <w:rPr>
          <w:rFonts w:eastAsia="仿宋"/>
          <w:sz w:val="28"/>
          <w:szCs w:val="28"/>
          <w:shd w:val="clear" w:color="auto" w:fill="FFFFFF"/>
        </w:rPr>
        <w:t>教师，</w:t>
      </w:r>
      <w:r>
        <w:rPr>
          <w:rFonts w:hint="eastAsia" w:eastAsia="仿宋"/>
          <w:sz w:val="28"/>
          <w:szCs w:val="28"/>
          <w:shd w:val="clear" w:color="auto" w:fill="FFFFFF"/>
        </w:rPr>
        <w:t>按</w:t>
      </w:r>
      <w:r>
        <w:rPr>
          <w:rFonts w:eastAsia="仿宋"/>
          <w:sz w:val="28"/>
          <w:szCs w:val="28"/>
        </w:rPr>
        <w:t>实际完成比例</w:t>
      </w:r>
      <w:r>
        <w:rPr>
          <w:rFonts w:hint="eastAsia" w:eastAsia="仿宋"/>
          <w:sz w:val="28"/>
          <w:szCs w:val="28"/>
        </w:rPr>
        <w:t>划拨业绩津贴经费到</w:t>
      </w:r>
      <w:r>
        <w:rPr>
          <w:rFonts w:eastAsia="仿宋"/>
          <w:sz w:val="28"/>
          <w:szCs w:val="28"/>
        </w:rPr>
        <w:t>学部</w:t>
      </w:r>
      <w:r>
        <w:rPr>
          <w:rFonts w:hint="eastAsia" w:eastAsia="仿宋"/>
          <w:sz w:val="28"/>
          <w:szCs w:val="28"/>
        </w:rPr>
        <w:t>；</w:t>
      </w:r>
      <w:r>
        <w:rPr>
          <w:rFonts w:hint="eastAsia" w:eastAsia="仿宋"/>
          <w:sz w:val="28"/>
          <w:szCs w:val="28"/>
          <w:shd w:val="clear" w:color="auto" w:fill="FFFFFF"/>
        </w:rPr>
        <w:t>对教学工作量不达标的</w:t>
      </w:r>
      <w:r>
        <w:rPr>
          <w:rFonts w:eastAsia="仿宋"/>
          <w:sz w:val="28"/>
          <w:szCs w:val="28"/>
          <w:shd w:val="clear" w:color="auto" w:fill="FFFFFF"/>
        </w:rPr>
        <w:t>教师</w:t>
      </w:r>
      <w:r>
        <w:rPr>
          <w:rFonts w:hint="eastAsia" w:eastAsia="仿宋"/>
          <w:sz w:val="28"/>
          <w:szCs w:val="28"/>
        </w:rPr>
        <w:t>，不划拨。</w:t>
      </w:r>
    </w:p>
    <w:p>
      <w:pPr>
        <w:snapToGrid w:val="0"/>
        <w:spacing w:line="520" w:lineRule="exact"/>
        <w:ind w:firstLine="560" w:firstLineChars="200"/>
        <w:rPr>
          <w:rFonts w:eastAsia="仿宋"/>
          <w:sz w:val="28"/>
          <w:szCs w:val="28"/>
          <w:shd w:val="clear" w:color="auto" w:fill="FFFFFF"/>
        </w:rPr>
      </w:pPr>
      <w:r>
        <w:rPr>
          <w:rFonts w:hint="eastAsia" w:eastAsia="仿宋"/>
          <w:sz w:val="28"/>
          <w:szCs w:val="28"/>
          <w:shd w:val="clear" w:color="auto" w:fill="FFFFFF"/>
        </w:rPr>
        <w:t>（2）成果类业绩津贴经费</w:t>
      </w:r>
    </w:p>
    <w:p>
      <w:pPr>
        <w:snapToGrid w:val="0"/>
        <w:spacing w:line="520" w:lineRule="exact"/>
        <w:ind w:firstLine="560" w:firstLineChars="200"/>
        <w:rPr>
          <w:rFonts w:eastAsia="仿宋"/>
          <w:sz w:val="28"/>
          <w:szCs w:val="28"/>
          <w:shd w:val="clear" w:color="auto" w:fill="FFFFFF"/>
        </w:rPr>
      </w:pPr>
      <w:r>
        <w:rPr>
          <w:rFonts w:hint="eastAsia" w:eastAsia="仿宋"/>
          <w:sz w:val="28"/>
          <w:szCs w:val="28"/>
          <w:shd w:val="clear" w:color="auto" w:fill="FFFFFF"/>
        </w:rPr>
        <w:t>学院划拨的成果类业绩津贴经费</w:t>
      </w:r>
      <w:r>
        <w:rPr>
          <w:rFonts w:hint="eastAsia" w:eastAsia="仿宋"/>
          <w:sz w:val="28"/>
          <w:szCs w:val="28"/>
        </w:rPr>
        <w:t>为</w:t>
      </w:r>
      <w:r>
        <w:rPr>
          <w:rFonts w:eastAsia="仿宋"/>
          <w:sz w:val="28"/>
          <w:szCs w:val="28"/>
        </w:rPr>
        <w:t>重大、重要教学科研成果类专项奖励津贴。主要参照南通大学当年教学科研等成果类专项奖励的相关规定和标准执行。</w:t>
      </w:r>
      <w:r>
        <w:rPr>
          <w:rFonts w:hint="eastAsia" w:eastAsia="仿宋"/>
          <w:sz w:val="28"/>
          <w:szCs w:val="28"/>
          <w:shd w:val="clear" w:color="auto" w:fill="FFFFFF"/>
        </w:rPr>
        <w:t>由职能部门核定后划拨到专业学部。</w:t>
      </w:r>
    </w:p>
    <w:p>
      <w:pPr>
        <w:snapToGrid w:val="0"/>
        <w:spacing w:line="520" w:lineRule="exact"/>
        <w:ind w:firstLine="560" w:firstLineChars="200"/>
        <w:rPr>
          <w:rFonts w:eastAsia="仿宋"/>
          <w:sz w:val="28"/>
          <w:szCs w:val="28"/>
          <w:shd w:val="clear" w:color="auto" w:fill="FFFFFF"/>
        </w:rPr>
      </w:pPr>
      <w:r>
        <w:rPr>
          <w:rFonts w:hint="eastAsia" w:eastAsia="仿宋"/>
          <w:sz w:val="28"/>
          <w:szCs w:val="28"/>
          <w:shd w:val="clear" w:color="auto" w:fill="FFFFFF"/>
        </w:rPr>
        <w:t>（3）公共服务及其他业绩津贴经费</w:t>
      </w:r>
    </w:p>
    <w:p>
      <w:pPr>
        <w:snapToGrid w:val="0"/>
        <w:spacing w:line="520" w:lineRule="exact"/>
        <w:ind w:firstLine="560" w:firstLineChars="200"/>
        <w:rPr>
          <w:rFonts w:eastAsia="仿宋"/>
          <w:sz w:val="28"/>
          <w:szCs w:val="28"/>
          <w:shd w:val="clear" w:color="auto" w:fill="FFFFFF"/>
        </w:rPr>
      </w:pPr>
      <w:r>
        <w:rPr>
          <w:rFonts w:hint="eastAsia" w:eastAsia="仿宋"/>
          <w:sz w:val="28"/>
          <w:szCs w:val="28"/>
          <w:shd w:val="clear" w:color="auto" w:fill="FFFFFF"/>
        </w:rPr>
        <w:t>学院划拨的公共服务及其他业绩经费包括</w:t>
      </w:r>
      <w:r>
        <w:rPr>
          <w:rFonts w:eastAsia="仿宋"/>
          <w:sz w:val="28"/>
          <w:szCs w:val="28"/>
          <w:shd w:val="clear" w:color="auto" w:fill="FFFFFF"/>
        </w:rPr>
        <w:t>超课时奖励津贴</w:t>
      </w:r>
      <w:r>
        <w:rPr>
          <w:rFonts w:hint="eastAsia" w:eastAsia="仿宋"/>
          <w:sz w:val="28"/>
          <w:szCs w:val="28"/>
          <w:shd w:val="clear" w:color="auto" w:fill="FFFFFF"/>
        </w:rPr>
        <w:t>、</w:t>
      </w:r>
      <w:r>
        <w:rPr>
          <w:rFonts w:eastAsia="仿宋"/>
          <w:sz w:val="28"/>
          <w:szCs w:val="28"/>
          <w:shd w:val="clear" w:color="auto" w:fill="FFFFFF"/>
        </w:rPr>
        <w:t>班主任工作津贴</w:t>
      </w:r>
      <w:r>
        <w:rPr>
          <w:rFonts w:hint="eastAsia" w:eastAsia="仿宋"/>
          <w:sz w:val="28"/>
          <w:szCs w:val="28"/>
          <w:shd w:val="clear" w:color="auto" w:fill="FFFFFF"/>
        </w:rPr>
        <w:t>、</w:t>
      </w:r>
      <w:r>
        <w:rPr>
          <w:rFonts w:eastAsia="仿宋"/>
          <w:sz w:val="28"/>
          <w:szCs w:val="28"/>
          <w:shd w:val="clear" w:color="auto" w:fill="FFFFFF"/>
        </w:rPr>
        <w:t>管理岗缺编增效津贴</w:t>
      </w:r>
      <w:r>
        <w:rPr>
          <w:rFonts w:hint="eastAsia" w:eastAsia="仿宋"/>
          <w:sz w:val="28"/>
          <w:szCs w:val="28"/>
          <w:shd w:val="clear" w:color="auto" w:fill="FFFFFF"/>
        </w:rPr>
        <w:t>、党群团</w:t>
      </w:r>
      <w:r>
        <w:rPr>
          <w:rFonts w:eastAsia="仿宋"/>
          <w:sz w:val="28"/>
          <w:szCs w:val="28"/>
          <w:shd w:val="clear" w:color="auto" w:fill="FFFFFF"/>
        </w:rPr>
        <w:t>工作津贴</w:t>
      </w:r>
      <w:r>
        <w:rPr>
          <w:rFonts w:hint="eastAsia" w:eastAsia="仿宋"/>
          <w:sz w:val="28"/>
          <w:szCs w:val="28"/>
          <w:shd w:val="clear" w:color="auto" w:fill="FFFFFF"/>
        </w:rPr>
        <w:t>、</w:t>
      </w:r>
      <w:r>
        <w:rPr>
          <w:rFonts w:eastAsia="仿宋"/>
          <w:sz w:val="28"/>
          <w:szCs w:val="28"/>
          <w:shd w:val="clear" w:color="auto" w:fill="FFFFFF"/>
        </w:rPr>
        <w:t>其他经党政联席会议讨论认为需要计发的津贴。</w:t>
      </w:r>
      <w:r>
        <w:rPr>
          <w:rFonts w:hint="eastAsia" w:eastAsia="仿宋"/>
          <w:sz w:val="28"/>
          <w:szCs w:val="28"/>
          <w:shd w:val="clear" w:color="auto" w:fill="FFFFFF"/>
        </w:rPr>
        <w:t>学院划拨的公共服务及其他业绩</w:t>
      </w:r>
      <w:r>
        <w:rPr>
          <w:rFonts w:eastAsia="仿宋"/>
          <w:sz w:val="28"/>
          <w:szCs w:val="28"/>
        </w:rPr>
        <w:t>由相关职能部门制定政策，计发相应分值</w:t>
      </w:r>
      <w:r>
        <w:rPr>
          <w:rFonts w:hint="eastAsia" w:eastAsia="仿宋"/>
          <w:sz w:val="28"/>
          <w:szCs w:val="28"/>
        </w:rPr>
        <w:t>，</w:t>
      </w:r>
      <w:r>
        <w:rPr>
          <w:rFonts w:hint="eastAsia" w:eastAsia="仿宋"/>
          <w:sz w:val="28"/>
          <w:szCs w:val="28"/>
          <w:shd w:val="clear" w:color="auto" w:fill="FFFFFF"/>
        </w:rPr>
        <w:t>核定后划拨到专业学部。</w:t>
      </w:r>
    </w:p>
    <w:p>
      <w:pPr>
        <w:snapToGrid w:val="0"/>
        <w:spacing w:line="520" w:lineRule="exact"/>
        <w:ind w:firstLine="560" w:firstLineChars="200"/>
        <w:rPr>
          <w:rFonts w:eastAsia="仿宋"/>
          <w:sz w:val="28"/>
          <w:szCs w:val="28"/>
        </w:rPr>
      </w:pPr>
      <w:r>
        <w:rPr>
          <w:rFonts w:eastAsia="仿宋"/>
          <w:sz w:val="28"/>
          <w:szCs w:val="28"/>
          <w:shd w:val="clear" w:color="auto" w:fill="FFFFFF"/>
        </w:rPr>
        <w:t>2</w:t>
      </w:r>
      <w:r>
        <w:rPr>
          <w:rFonts w:hint="eastAsia" w:eastAsia="仿宋"/>
          <w:sz w:val="28"/>
          <w:szCs w:val="28"/>
          <w:shd w:val="clear" w:color="auto" w:fill="FFFFFF"/>
        </w:rPr>
        <w:t>.</w:t>
      </w:r>
      <w:r>
        <w:rPr>
          <w:rFonts w:hint="eastAsia" w:eastAsia="仿宋"/>
          <w:sz w:val="28"/>
          <w:szCs w:val="28"/>
        </w:rPr>
        <w:t>其他岗位（实验技术岗、辅导员岗、党政管理岗）经费划拨</w:t>
      </w:r>
      <w:r>
        <w:rPr>
          <w:rFonts w:eastAsia="仿宋"/>
          <w:sz w:val="28"/>
          <w:szCs w:val="28"/>
        </w:rPr>
        <w:t>参照学院职能部门划拨方式</w:t>
      </w:r>
      <w:r>
        <w:rPr>
          <w:rFonts w:hint="eastAsia" w:eastAsia="仿宋"/>
          <w:sz w:val="28"/>
          <w:szCs w:val="28"/>
        </w:rPr>
        <w:t>。</w:t>
      </w:r>
    </w:p>
    <w:p>
      <w:pPr>
        <w:snapToGrid w:val="0"/>
        <w:spacing w:line="520" w:lineRule="exact"/>
        <w:ind w:firstLine="562" w:firstLineChars="200"/>
        <w:rPr>
          <w:rFonts w:eastAsia="仿宋"/>
          <w:b/>
          <w:sz w:val="28"/>
          <w:szCs w:val="28"/>
        </w:rPr>
      </w:pPr>
      <w:r>
        <w:rPr>
          <w:rFonts w:hint="eastAsia" w:eastAsia="仿宋"/>
          <w:b/>
          <w:sz w:val="28"/>
          <w:szCs w:val="28"/>
        </w:rPr>
        <w:t>八、</w:t>
      </w:r>
      <w:r>
        <w:rPr>
          <w:rFonts w:eastAsia="仿宋"/>
          <w:b/>
          <w:sz w:val="28"/>
          <w:szCs w:val="28"/>
        </w:rPr>
        <w:t>其他相关政策说明</w:t>
      </w:r>
    </w:p>
    <w:p>
      <w:pPr>
        <w:snapToGrid w:val="0"/>
        <w:spacing w:line="520" w:lineRule="exact"/>
        <w:ind w:firstLine="560" w:firstLineChars="200"/>
        <w:rPr>
          <w:rFonts w:eastAsia="仿宋"/>
          <w:sz w:val="28"/>
          <w:szCs w:val="28"/>
        </w:rPr>
      </w:pPr>
      <w:r>
        <w:rPr>
          <w:rFonts w:eastAsia="仿宋"/>
          <w:sz w:val="28"/>
          <w:szCs w:val="28"/>
        </w:rPr>
        <w:t>1.个人岗位原则上按学校岗位设置与聘用工作的目前实际所聘岗位等级确定。新进教工、岗位变动、职称晋升等情况需要调整岗位绩效级档者，按其所在岗位自动进入相应岗位和职称的起始级，所有调整后的奖励性绩效工资标准自次月起计。</w:t>
      </w:r>
    </w:p>
    <w:p>
      <w:pPr>
        <w:snapToGrid w:val="0"/>
        <w:spacing w:line="520" w:lineRule="exact"/>
        <w:ind w:firstLine="560" w:firstLineChars="200"/>
        <w:rPr>
          <w:rFonts w:eastAsia="仿宋"/>
          <w:sz w:val="28"/>
          <w:szCs w:val="28"/>
        </w:rPr>
      </w:pPr>
      <w:r>
        <w:rPr>
          <w:rFonts w:eastAsia="仿宋"/>
          <w:sz w:val="28"/>
          <w:szCs w:val="28"/>
        </w:rPr>
        <w:t>2.因工作需要，学校与学院间工作人员的变动，其奖励津贴经协商后予以计发。因工作需要岗位在年度中发生变化时，其奖励津贴分段计算。</w:t>
      </w:r>
    </w:p>
    <w:p>
      <w:pPr>
        <w:snapToGrid w:val="0"/>
        <w:spacing w:line="520" w:lineRule="exact"/>
        <w:ind w:firstLine="560" w:firstLineChars="200"/>
        <w:rPr>
          <w:rFonts w:eastAsia="仿宋"/>
          <w:sz w:val="28"/>
          <w:szCs w:val="28"/>
        </w:rPr>
      </w:pPr>
      <w:r>
        <w:rPr>
          <w:rFonts w:eastAsia="仿宋"/>
          <w:sz w:val="28"/>
          <w:szCs w:val="28"/>
        </w:rPr>
        <w:t>3.因年纪到龄退出领导岗位的教职工，其奖励性绩效按照学校相关待遇规定，以及学院绩效分配等文件执行。</w:t>
      </w:r>
    </w:p>
    <w:p>
      <w:pPr>
        <w:snapToGrid w:val="0"/>
        <w:spacing w:line="520" w:lineRule="exact"/>
        <w:ind w:firstLine="560" w:firstLineChars="200"/>
        <w:rPr>
          <w:rFonts w:eastAsia="仿宋"/>
          <w:sz w:val="28"/>
          <w:szCs w:val="28"/>
        </w:rPr>
      </w:pPr>
      <w:r>
        <w:rPr>
          <w:rFonts w:eastAsia="仿宋"/>
          <w:sz w:val="28"/>
          <w:szCs w:val="28"/>
        </w:rPr>
        <w:t>4.未参加本单位组织的年度考核人员，其奖励性绩效原则上不予发放。</w:t>
      </w:r>
    </w:p>
    <w:p>
      <w:pPr>
        <w:snapToGrid w:val="0"/>
        <w:spacing w:line="520" w:lineRule="exact"/>
        <w:ind w:firstLine="560" w:firstLineChars="200"/>
        <w:rPr>
          <w:rFonts w:eastAsia="仿宋"/>
          <w:sz w:val="28"/>
          <w:szCs w:val="28"/>
        </w:rPr>
      </w:pPr>
      <w:r>
        <w:rPr>
          <w:rFonts w:eastAsia="仿宋"/>
          <w:sz w:val="28"/>
          <w:szCs w:val="28"/>
        </w:rPr>
        <w:t>5.本单位管理领导岗在职人员同时兼任学部主任、系主任等，其按受聘岗位津贴标准的20%计发；杏林学院专业教师兼任专业负责人，按其受聘岗位津贴标准的20%计发。以上费用从杏林学院外聘人员经费中支出，直接计发到个人。</w:t>
      </w:r>
    </w:p>
    <w:p>
      <w:pPr>
        <w:snapToGrid w:val="0"/>
        <w:spacing w:line="520" w:lineRule="exact"/>
        <w:ind w:firstLine="560" w:firstLineChars="200"/>
        <w:rPr>
          <w:rFonts w:eastAsia="仿宋"/>
          <w:sz w:val="28"/>
          <w:szCs w:val="28"/>
        </w:rPr>
      </w:pPr>
      <w:r>
        <w:rPr>
          <w:rFonts w:eastAsia="仿宋"/>
          <w:sz w:val="28"/>
          <w:szCs w:val="28"/>
        </w:rPr>
        <w:t>6.根据学校《关于部分机构设置和干部职数调整的通知》（通大委〔2021〕28号）等文件，以及杏林〔管委会〕党委关于《启东校区管委会现有工作人员调配和分流工作方案》中相关规定：</w:t>
      </w:r>
    </w:p>
    <w:p>
      <w:pPr>
        <w:snapToGrid w:val="0"/>
        <w:spacing w:line="520" w:lineRule="exact"/>
        <w:ind w:firstLine="560" w:firstLineChars="200"/>
        <w:rPr>
          <w:rFonts w:eastAsia="仿宋"/>
          <w:sz w:val="28"/>
          <w:szCs w:val="28"/>
        </w:rPr>
      </w:pPr>
      <w:r>
        <w:rPr>
          <w:rFonts w:eastAsia="仿宋"/>
          <w:sz w:val="28"/>
          <w:szCs w:val="28"/>
        </w:rPr>
        <w:t>（1）启东校区管委会成立并与杏林学院合署办公后</w:t>
      </w:r>
      <w:r>
        <w:rPr>
          <w:rFonts w:hint="eastAsia" w:eastAsia="仿宋"/>
          <w:sz w:val="28"/>
          <w:szCs w:val="28"/>
        </w:rPr>
        <w:t>，</w:t>
      </w:r>
      <w:r>
        <w:rPr>
          <w:rFonts w:eastAsia="仿宋"/>
          <w:sz w:val="28"/>
          <w:szCs w:val="28"/>
        </w:rPr>
        <w:t>其奖励性绩效总量和杏林学院绩效总量予以合并，按照本奖励性绩效工资实施办法进行分配，管委会工作人员参照杏林学院内设机构同级人员的绩效定档方法和标准进行确定。</w:t>
      </w:r>
    </w:p>
    <w:p>
      <w:pPr>
        <w:snapToGrid w:val="0"/>
        <w:spacing w:line="520" w:lineRule="exact"/>
        <w:ind w:firstLine="560" w:firstLineChars="200"/>
        <w:rPr>
          <w:rFonts w:eastAsia="仿宋"/>
          <w:sz w:val="28"/>
          <w:szCs w:val="28"/>
        </w:rPr>
      </w:pPr>
      <w:r>
        <w:rPr>
          <w:rFonts w:eastAsia="仿宋"/>
          <w:sz w:val="28"/>
          <w:szCs w:val="28"/>
        </w:rPr>
        <w:t>（2）在杏林学院后勤保障处及其下设科室撤消后，杏林学院选派在启东校区管委会工作和分流回院工作的教职工，在学院内设机构岗位开展重新聘任前的过渡期间，奖励性绩效按照其原受聘杏林学院的岗位标准予以计发。</w:t>
      </w:r>
    </w:p>
    <w:bookmarkEnd w:id="0"/>
    <w:p>
      <w:pPr>
        <w:snapToGrid w:val="0"/>
        <w:spacing w:line="520" w:lineRule="exact"/>
        <w:ind w:firstLine="562" w:firstLineChars="200"/>
        <w:rPr>
          <w:rFonts w:eastAsia="仿宋"/>
          <w:b/>
          <w:sz w:val="28"/>
          <w:szCs w:val="28"/>
        </w:rPr>
      </w:pPr>
      <w:r>
        <w:rPr>
          <w:rFonts w:hint="eastAsia" w:eastAsia="仿宋"/>
          <w:b/>
          <w:sz w:val="28"/>
          <w:szCs w:val="28"/>
        </w:rPr>
        <w:t>九</w:t>
      </w:r>
      <w:r>
        <w:rPr>
          <w:rFonts w:eastAsia="仿宋"/>
          <w:b/>
          <w:sz w:val="28"/>
          <w:szCs w:val="28"/>
        </w:rPr>
        <w:t>、工作程序</w:t>
      </w:r>
    </w:p>
    <w:p>
      <w:pPr>
        <w:snapToGrid w:val="0"/>
        <w:spacing w:line="520" w:lineRule="exact"/>
        <w:ind w:firstLine="560" w:firstLineChars="200"/>
        <w:rPr>
          <w:rFonts w:eastAsia="仿宋"/>
          <w:sz w:val="28"/>
          <w:szCs w:val="28"/>
        </w:rPr>
      </w:pPr>
      <w:r>
        <w:rPr>
          <w:rFonts w:eastAsia="仿宋"/>
          <w:sz w:val="28"/>
          <w:szCs w:val="28"/>
        </w:rPr>
        <w:t>1.杏林〔管委会〕奖励性绩效工资实施工作小组在上年度奖励性绩效工资计发工作的基础上，组织在全院范围内听取意见，并结合南通大学当年年终分配工作方案，制定和完善杏林〔管委会〕奖励性绩效工资实施办法。</w:t>
      </w:r>
    </w:p>
    <w:p>
      <w:pPr>
        <w:snapToGrid w:val="0"/>
        <w:spacing w:line="520" w:lineRule="exact"/>
        <w:ind w:firstLine="560" w:firstLineChars="200"/>
        <w:rPr>
          <w:rFonts w:eastAsia="仿宋"/>
          <w:sz w:val="28"/>
          <w:szCs w:val="28"/>
        </w:rPr>
      </w:pPr>
      <w:r>
        <w:rPr>
          <w:rFonts w:eastAsia="仿宋"/>
          <w:sz w:val="28"/>
          <w:szCs w:val="28"/>
        </w:rPr>
        <w:t>2.杏林〔管委会〕奖励性绩效工资实施办法经工作小组讨论研究制定，提交学院教职工代表大会讨论通过后，经杏林〔管委会〕党政联席会议确定予以公示，报学院理事会批准后实施。</w:t>
      </w:r>
    </w:p>
    <w:p>
      <w:pPr>
        <w:snapToGrid w:val="0"/>
        <w:spacing w:line="520" w:lineRule="exact"/>
        <w:ind w:firstLine="560" w:firstLineChars="200"/>
        <w:rPr>
          <w:rFonts w:eastAsia="仿宋"/>
          <w:sz w:val="28"/>
          <w:szCs w:val="28"/>
        </w:rPr>
      </w:pPr>
      <w:r>
        <w:rPr>
          <w:rFonts w:eastAsia="仿宋"/>
          <w:sz w:val="28"/>
          <w:szCs w:val="28"/>
        </w:rPr>
        <w:t>3.杏林〔管委会〕各部门将本部门人员岗位工作任务考核结果报杏林学院办公室，办公室组织核算可供分配的业绩奖励津贴额，提供给各部门。</w:t>
      </w:r>
    </w:p>
    <w:p>
      <w:pPr>
        <w:snapToGrid w:val="0"/>
        <w:spacing w:line="520" w:lineRule="exact"/>
        <w:ind w:firstLine="560" w:firstLineChars="200"/>
        <w:rPr>
          <w:rFonts w:eastAsia="仿宋"/>
          <w:sz w:val="28"/>
          <w:szCs w:val="28"/>
        </w:rPr>
      </w:pPr>
      <w:r>
        <w:rPr>
          <w:rFonts w:eastAsia="仿宋"/>
          <w:sz w:val="28"/>
          <w:szCs w:val="28"/>
        </w:rPr>
        <w:t>各部门根据实际制定二次分配细则并在部门内公示，无异议后组织进行分配，进行业绩奖励津贴的核算工作，并将结果在部门内公布无异议后，将结果和分配细则报杏林学院办公室。</w:t>
      </w:r>
    </w:p>
    <w:p>
      <w:pPr>
        <w:snapToGrid w:val="0"/>
        <w:spacing w:line="520" w:lineRule="exact"/>
        <w:ind w:firstLine="560" w:firstLineChars="200"/>
        <w:rPr>
          <w:rFonts w:eastAsia="仿宋"/>
          <w:sz w:val="28"/>
          <w:szCs w:val="28"/>
        </w:rPr>
      </w:pPr>
      <w:r>
        <w:rPr>
          <w:rFonts w:eastAsia="仿宋"/>
          <w:sz w:val="28"/>
          <w:szCs w:val="28"/>
        </w:rPr>
        <w:t>4.学院根据可供使用的奖励性绩效经费量，根据各部门上报的结果进行计算，核算结果向全院教职工公示，经审核批准后，交学院财务处发放。</w:t>
      </w:r>
    </w:p>
    <w:p>
      <w:pPr>
        <w:snapToGrid w:val="0"/>
        <w:spacing w:line="520" w:lineRule="exact"/>
        <w:ind w:firstLine="562" w:firstLineChars="200"/>
        <w:rPr>
          <w:rFonts w:eastAsia="仿宋"/>
          <w:b/>
          <w:bCs/>
          <w:sz w:val="28"/>
          <w:szCs w:val="28"/>
        </w:rPr>
      </w:pPr>
      <w:r>
        <w:rPr>
          <w:rFonts w:eastAsia="仿宋"/>
          <w:b/>
          <w:bCs/>
          <w:sz w:val="28"/>
          <w:szCs w:val="28"/>
        </w:rPr>
        <w:t>十、本细则由学院办公室负责解释。</w:t>
      </w:r>
    </w:p>
    <w:p>
      <w:pPr>
        <w:snapToGrid w:val="0"/>
        <w:spacing w:line="520" w:lineRule="exact"/>
        <w:ind w:firstLine="562" w:firstLineChars="200"/>
        <w:rPr>
          <w:rFonts w:eastAsia="仿宋"/>
          <w:b/>
          <w:bCs/>
          <w:sz w:val="28"/>
          <w:szCs w:val="28"/>
        </w:rPr>
      </w:pPr>
      <w:r>
        <w:rPr>
          <w:rFonts w:eastAsia="仿宋"/>
          <w:b/>
          <w:bCs/>
          <w:sz w:val="28"/>
          <w:szCs w:val="28"/>
        </w:rPr>
        <w:t>十</w:t>
      </w:r>
      <w:r>
        <w:rPr>
          <w:rFonts w:hint="eastAsia" w:eastAsia="仿宋"/>
          <w:b/>
          <w:bCs/>
          <w:sz w:val="28"/>
          <w:szCs w:val="28"/>
        </w:rPr>
        <w:t>一</w:t>
      </w:r>
      <w:r>
        <w:rPr>
          <w:rFonts w:eastAsia="仿宋"/>
          <w:b/>
          <w:bCs/>
          <w:sz w:val="28"/>
          <w:szCs w:val="28"/>
        </w:rPr>
        <w:t>、未尽事宜经杏林〔管委会〕党政联席会议讨论后确定。</w:t>
      </w:r>
    </w:p>
    <w:p>
      <w:pPr>
        <w:snapToGrid w:val="0"/>
        <w:spacing w:line="520" w:lineRule="exact"/>
        <w:ind w:firstLine="560" w:firstLineChars="200"/>
        <w:rPr>
          <w:rFonts w:eastAsia="仿宋"/>
          <w:sz w:val="28"/>
          <w:szCs w:val="28"/>
        </w:rPr>
      </w:pPr>
    </w:p>
    <w:p>
      <w:pPr>
        <w:snapToGrid w:val="0"/>
        <w:spacing w:line="520" w:lineRule="exact"/>
        <w:ind w:firstLine="560" w:firstLineChars="200"/>
        <w:rPr>
          <w:rFonts w:eastAsia="仿宋"/>
          <w:sz w:val="28"/>
          <w:szCs w:val="28"/>
        </w:rPr>
      </w:pPr>
      <w:r>
        <w:rPr>
          <w:rFonts w:eastAsia="仿宋"/>
          <w:sz w:val="28"/>
          <w:szCs w:val="28"/>
        </w:rPr>
        <w:t>附件：1.</w:t>
      </w:r>
      <w:r>
        <w:rPr>
          <w:rFonts w:hint="eastAsia" w:eastAsia="仿宋"/>
          <w:sz w:val="28"/>
          <w:szCs w:val="28"/>
        </w:rPr>
        <w:t>专业学部年终分配实施指导意见</w:t>
      </w:r>
    </w:p>
    <w:p>
      <w:pPr>
        <w:snapToGrid w:val="0"/>
        <w:spacing w:line="520" w:lineRule="exact"/>
        <w:ind w:firstLine="1400" w:firstLineChars="500"/>
        <w:rPr>
          <w:rFonts w:eastAsia="仿宋"/>
          <w:sz w:val="28"/>
          <w:szCs w:val="28"/>
        </w:rPr>
      </w:pPr>
      <w:r>
        <w:rPr>
          <w:rFonts w:hint="eastAsia" w:eastAsia="仿宋"/>
          <w:sz w:val="28"/>
          <w:szCs w:val="28"/>
        </w:rPr>
        <w:t>2.岗位奖励津贴扣发办法</w:t>
      </w:r>
    </w:p>
    <w:p>
      <w:pPr>
        <w:snapToGrid w:val="0"/>
        <w:spacing w:line="520" w:lineRule="exact"/>
        <w:ind w:firstLine="1400" w:firstLineChars="500"/>
        <w:rPr>
          <w:rFonts w:eastAsia="仿宋"/>
          <w:sz w:val="28"/>
          <w:szCs w:val="28"/>
        </w:rPr>
      </w:pPr>
      <w:r>
        <w:rPr>
          <w:rFonts w:hint="eastAsia" w:eastAsia="仿宋"/>
          <w:sz w:val="28"/>
          <w:szCs w:val="28"/>
        </w:rPr>
        <w:t>3.</w:t>
      </w:r>
      <w:r>
        <w:rPr>
          <w:rFonts w:eastAsia="仿宋"/>
          <w:sz w:val="28"/>
          <w:szCs w:val="28"/>
        </w:rPr>
        <w:t>超课时奖励津贴</w:t>
      </w:r>
      <w:r>
        <w:rPr>
          <w:rFonts w:hint="eastAsia" w:eastAsia="仿宋"/>
          <w:sz w:val="28"/>
          <w:szCs w:val="28"/>
        </w:rPr>
        <w:t>经费划拨办法</w:t>
      </w:r>
    </w:p>
    <w:p>
      <w:pPr>
        <w:snapToGrid w:val="0"/>
        <w:spacing w:line="520" w:lineRule="exact"/>
        <w:ind w:firstLine="1400" w:firstLineChars="500"/>
        <w:rPr>
          <w:rFonts w:eastAsia="仿宋"/>
          <w:sz w:val="28"/>
          <w:szCs w:val="28"/>
        </w:rPr>
      </w:pPr>
      <w:r>
        <w:rPr>
          <w:rFonts w:hint="eastAsia" w:eastAsia="仿宋"/>
          <w:sz w:val="28"/>
          <w:szCs w:val="28"/>
        </w:rPr>
        <w:t>4</w:t>
      </w:r>
      <w:r>
        <w:rPr>
          <w:rFonts w:eastAsia="仿宋"/>
          <w:sz w:val="28"/>
          <w:szCs w:val="28"/>
        </w:rPr>
        <w:t>.班主任岗位津贴</w:t>
      </w:r>
      <w:r>
        <w:rPr>
          <w:rFonts w:hint="eastAsia" w:eastAsia="仿宋"/>
          <w:sz w:val="28"/>
          <w:szCs w:val="28"/>
        </w:rPr>
        <w:t>经费划拨办法</w:t>
      </w:r>
    </w:p>
    <w:p>
      <w:pPr>
        <w:snapToGrid w:val="0"/>
        <w:spacing w:line="520" w:lineRule="exact"/>
        <w:ind w:firstLine="1400" w:firstLineChars="500"/>
        <w:rPr>
          <w:rFonts w:eastAsia="仿宋"/>
          <w:sz w:val="28"/>
          <w:szCs w:val="28"/>
        </w:rPr>
      </w:pPr>
      <w:r>
        <w:rPr>
          <w:rFonts w:hint="eastAsia" w:eastAsia="仿宋"/>
          <w:sz w:val="28"/>
          <w:szCs w:val="28"/>
        </w:rPr>
        <w:t>5</w:t>
      </w:r>
      <w:r>
        <w:rPr>
          <w:rFonts w:eastAsia="仿宋"/>
          <w:sz w:val="28"/>
          <w:szCs w:val="28"/>
        </w:rPr>
        <w:t>.管理岗工作量补</w:t>
      </w:r>
      <w:r>
        <w:rPr>
          <w:rFonts w:hint="eastAsia" w:eastAsia="仿宋"/>
          <w:sz w:val="28"/>
          <w:szCs w:val="28"/>
        </w:rPr>
        <w:t>贴经费划拨办法</w:t>
      </w:r>
    </w:p>
    <w:p>
      <w:pPr>
        <w:snapToGrid w:val="0"/>
        <w:spacing w:line="520" w:lineRule="exact"/>
        <w:ind w:firstLine="1400" w:firstLineChars="500"/>
        <w:rPr>
          <w:rFonts w:eastAsia="仿宋"/>
          <w:sz w:val="28"/>
          <w:szCs w:val="28"/>
        </w:rPr>
      </w:pPr>
      <w:r>
        <w:rPr>
          <w:rFonts w:hint="eastAsia" w:eastAsia="仿宋"/>
          <w:sz w:val="28"/>
          <w:szCs w:val="28"/>
        </w:rPr>
        <w:t>6</w:t>
      </w:r>
      <w:r>
        <w:rPr>
          <w:rFonts w:eastAsia="仿宋"/>
          <w:sz w:val="28"/>
          <w:szCs w:val="28"/>
        </w:rPr>
        <w:t>.党支部、工会和共青团工作津贴</w:t>
      </w:r>
      <w:r>
        <w:rPr>
          <w:rFonts w:hint="eastAsia" w:eastAsia="仿宋"/>
          <w:sz w:val="28"/>
          <w:szCs w:val="28"/>
        </w:rPr>
        <w:t>经费划拨办法</w:t>
      </w:r>
    </w:p>
    <w:p>
      <w:pPr>
        <w:spacing w:line="500" w:lineRule="exact"/>
        <w:jc w:val="right"/>
        <w:rPr>
          <w:rFonts w:eastAsia="仿宋"/>
          <w:sz w:val="28"/>
          <w:szCs w:val="28"/>
        </w:rPr>
      </w:pPr>
      <w:r>
        <w:rPr>
          <w:rFonts w:eastAsia="仿宋"/>
          <w:sz w:val="28"/>
          <w:szCs w:val="28"/>
        </w:rPr>
        <w:br w:type="page"/>
      </w:r>
    </w:p>
    <w:p>
      <w:pPr>
        <w:snapToGrid w:val="0"/>
        <w:spacing w:line="480" w:lineRule="exact"/>
        <w:jc w:val="left"/>
        <w:rPr>
          <w:rFonts w:eastAsia="仿宋"/>
          <w:sz w:val="28"/>
          <w:szCs w:val="28"/>
        </w:rPr>
      </w:pPr>
      <w:r>
        <w:rPr>
          <w:rFonts w:hint="eastAsia" w:eastAsia="仿宋"/>
          <w:sz w:val="28"/>
          <w:szCs w:val="28"/>
        </w:rPr>
        <w:t>附件1：</w:t>
      </w:r>
    </w:p>
    <w:p>
      <w:pPr>
        <w:jc w:val="center"/>
        <w:rPr>
          <w:rFonts w:cs="方正小标宋简体" w:asciiTheme="minorEastAsia" w:hAnsiTheme="minorEastAsia" w:eastAsiaTheme="minorEastAsia"/>
          <w:b/>
          <w:sz w:val="32"/>
          <w:szCs w:val="32"/>
        </w:rPr>
      </w:pPr>
      <w:r>
        <w:rPr>
          <w:rFonts w:hint="eastAsia" w:cs="方正小标宋简体" w:asciiTheme="minorEastAsia" w:hAnsiTheme="minorEastAsia" w:eastAsiaTheme="minorEastAsia"/>
          <w:b/>
          <w:sz w:val="32"/>
          <w:szCs w:val="32"/>
        </w:rPr>
        <w:t>专业学部年终分配实施指导意见</w:t>
      </w:r>
    </w:p>
    <w:p>
      <w:pPr>
        <w:snapToGrid w:val="0"/>
        <w:spacing w:line="520" w:lineRule="exact"/>
        <w:ind w:firstLine="562" w:firstLineChars="200"/>
        <w:rPr>
          <w:rFonts w:eastAsia="仿宋"/>
          <w:b/>
          <w:bCs/>
          <w:sz w:val="28"/>
          <w:szCs w:val="28"/>
        </w:rPr>
      </w:pPr>
      <w:r>
        <w:rPr>
          <w:rFonts w:hint="eastAsia" w:eastAsia="仿宋"/>
          <w:b/>
          <w:bCs/>
          <w:sz w:val="28"/>
          <w:szCs w:val="28"/>
        </w:rPr>
        <w:t>一、岗位奖励津贴</w:t>
      </w:r>
    </w:p>
    <w:p>
      <w:pPr>
        <w:snapToGrid w:val="0"/>
        <w:spacing w:line="520" w:lineRule="exact"/>
        <w:ind w:firstLine="562" w:firstLineChars="200"/>
        <w:rPr>
          <w:rFonts w:eastAsia="仿宋"/>
          <w:b/>
          <w:bCs/>
          <w:sz w:val="28"/>
          <w:szCs w:val="28"/>
        </w:rPr>
      </w:pPr>
      <w:r>
        <w:rPr>
          <w:rFonts w:hint="eastAsia" w:eastAsia="仿宋"/>
          <w:b/>
          <w:bCs/>
          <w:sz w:val="28"/>
          <w:szCs w:val="28"/>
        </w:rPr>
        <w:t>（一）专业教师岗</w:t>
      </w:r>
    </w:p>
    <w:p>
      <w:pPr>
        <w:snapToGrid w:val="0"/>
        <w:spacing w:line="520" w:lineRule="exact"/>
        <w:ind w:firstLine="560" w:firstLineChars="200"/>
        <w:rPr>
          <w:rFonts w:eastAsia="仿宋"/>
          <w:sz w:val="28"/>
          <w:szCs w:val="28"/>
        </w:rPr>
      </w:pPr>
      <w:r>
        <w:rPr>
          <w:rFonts w:hint="eastAsia" w:eastAsia="仿宋"/>
          <w:sz w:val="28"/>
          <w:szCs w:val="28"/>
        </w:rPr>
        <w:t>1.考核范围</w:t>
      </w:r>
    </w:p>
    <w:p>
      <w:pPr>
        <w:snapToGrid w:val="0"/>
        <w:spacing w:line="520" w:lineRule="exact"/>
        <w:ind w:firstLine="560" w:firstLineChars="200"/>
        <w:rPr>
          <w:rFonts w:eastAsia="仿宋"/>
          <w:sz w:val="28"/>
          <w:szCs w:val="28"/>
          <w:shd w:val="clear" w:color="auto" w:fill="FFFFFF"/>
        </w:rPr>
      </w:pPr>
      <w:r>
        <w:rPr>
          <w:rFonts w:hint="eastAsia" w:eastAsia="仿宋"/>
          <w:sz w:val="28"/>
          <w:szCs w:val="28"/>
        </w:rPr>
        <w:t>专业教师岗</w:t>
      </w:r>
      <w:r>
        <w:rPr>
          <w:rFonts w:eastAsia="仿宋"/>
          <w:sz w:val="28"/>
          <w:szCs w:val="28"/>
        </w:rPr>
        <w:t>年度基本工作任务</w:t>
      </w:r>
      <w:r>
        <w:rPr>
          <w:rFonts w:eastAsia="仿宋"/>
          <w:sz w:val="28"/>
          <w:szCs w:val="28"/>
          <w:shd w:val="clear" w:color="auto" w:fill="FFFFFF"/>
        </w:rPr>
        <w:t>由</w:t>
      </w:r>
      <w:r>
        <w:rPr>
          <w:rFonts w:hint="eastAsia" w:eastAsia="仿宋"/>
          <w:sz w:val="28"/>
          <w:szCs w:val="28"/>
          <w:shd w:val="clear" w:color="auto" w:fill="FFFFFF"/>
        </w:rPr>
        <w:t>基本教学</w:t>
      </w:r>
      <w:r>
        <w:rPr>
          <w:rFonts w:eastAsia="仿宋"/>
          <w:sz w:val="28"/>
          <w:szCs w:val="28"/>
          <w:shd w:val="clear" w:color="auto" w:fill="FFFFFF"/>
        </w:rPr>
        <w:t>工作量业绩、</w:t>
      </w:r>
      <w:r>
        <w:rPr>
          <w:rFonts w:hint="eastAsia" w:eastAsia="仿宋"/>
          <w:sz w:val="28"/>
          <w:szCs w:val="28"/>
          <w:shd w:val="clear" w:color="auto" w:fill="FFFFFF"/>
        </w:rPr>
        <w:t>基本</w:t>
      </w:r>
      <w:r>
        <w:rPr>
          <w:rFonts w:eastAsia="仿宋"/>
          <w:sz w:val="28"/>
          <w:szCs w:val="28"/>
          <w:shd w:val="clear" w:color="auto" w:fill="FFFFFF"/>
        </w:rPr>
        <w:t>成果</w:t>
      </w:r>
      <w:r>
        <w:rPr>
          <w:rFonts w:hint="eastAsia" w:eastAsia="仿宋"/>
          <w:sz w:val="28"/>
          <w:szCs w:val="28"/>
          <w:shd w:val="clear" w:color="auto" w:fill="FFFFFF"/>
        </w:rPr>
        <w:t>类</w:t>
      </w:r>
      <w:r>
        <w:rPr>
          <w:rFonts w:eastAsia="仿宋"/>
          <w:sz w:val="28"/>
          <w:szCs w:val="28"/>
          <w:shd w:val="clear" w:color="auto" w:fill="FFFFFF"/>
        </w:rPr>
        <w:t>业绩、</w:t>
      </w:r>
      <w:r>
        <w:rPr>
          <w:rFonts w:hint="eastAsia" w:eastAsia="仿宋"/>
          <w:sz w:val="28"/>
          <w:szCs w:val="28"/>
          <w:shd w:val="clear" w:color="auto" w:fill="FFFFFF"/>
        </w:rPr>
        <w:t>基本公共</w:t>
      </w:r>
      <w:r>
        <w:rPr>
          <w:rFonts w:eastAsia="仿宋"/>
          <w:sz w:val="28"/>
          <w:szCs w:val="28"/>
          <w:shd w:val="clear" w:color="auto" w:fill="FFFFFF"/>
        </w:rPr>
        <w:t>服务业绩三部分组成</w:t>
      </w:r>
      <w:r>
        <w:rPr>
          <w:rFonts w:hint="eastAsia" w:eastAsia="仿宋"/>
          <w:sz w:val="28"/>
          <w:szCs w:val="28"/>
          <w:shd w:val="clear" w:color="auto" w:fill="FFFFFF"/>
        </w:rPr>
        <w:t>：</w:t>
      </w:r>
    </w:p>
    <w:p>
      <w:pPr>
        <w:snapToGrid w:val="0"/>
        <w:spacing w:line="520" w:lineRule="exact"/>
        <w:ind w:firstLine="560" w:firstLineChars="200"/>
        <w:rPr>
          <w:rFonts w:eastAsia="仿宋"/>
          <w:sz w:val="28"/>
          <w:szCs w:val="28"/>
        </w:rPr>
      </w:pPr>
      <w:r>
        <w:rPr>
          <w:rFonts w:hint="eastAsia" w:eastAsia="仿宋"/>
          <w:sz w:val="28"/>
          <w:szCs w:val="28"/>
        </w:rPr>
        <w:t>（1）基</w:t>
      </w:r>
      <w:r>
        <w:rPr>
          <w:rFonts w:eastAsia="仿宋"/>
          <w:sz w:val="28"/>
          <w:szCs w:val="28"/>
        </w:rPr>
        <w:t>本教学工作量</w:t>
      </w:r>
      <w:r>
        <w:rPr>
          <w:rFonts w:hint="eastAsia" w:eastAsia="仿宋"/>
          <w:sz w:val="28"/>
          <w:szCs w:val="28"/>
        </w:rPr>
        <w:t>：主要</w:t>
      </w:r>
      <w:r>
        <w:rPr>
          <w:rFonts w:eastAsia="仿宋"/>
          <w:sz w:val="28"/>
          <w:szCs w:val="28"/>
        </w:rPr>
        <w:t>按照《南通大学本科教学工作量计算办法（试行）》(通大教〔2018〕48号)进行计算，按照当年度确定的“杏林学院教学工作基本量”和“学部教学工作量定额标准”分别进行考核。“杏林学院教学工作基本量”由学院根据每年的教学工作总量、课程类别和应有师资数量来确定，作为岗位基本量的最低限额标准，并进行考核。“学部教学工作量定额标准”由学部根据自身专业特点和教学工作实际需求进行确定，并进行考核。</w:t>
      </w:r>
    </w:p>
    <w:p>
      <w:pPr>
        <w:snapToGrid w:val="0"/>
        <w:spacing w:line="520" w:lineRule="exact"/>
        <w:ind w:firstLine="560" w:firstLineChars="200"/>
        <w:rPr>
          <w:rFonts w:eastAsia="仿宋"/>
          <w:sz w:val="28"/>
          <w:szCs w:val="28"/>
        </w:rPr>
      </w:pPr>
      <w:r>
        <w:rPr>
          <w:rFonts w:hint="eastAsia" w:eastAsia="仿宋"/>
          <w:sz w:val="28"/>
          <w:szCs w:val="28"/>
        </w:rPr>
        <w:t>（2）</w:t>
      </w:r>
      <w:r>
        <w:rPr>
          <w:rFonts w:hint="eastAsia" w:eastAsia="仿宋"/>
          <w:sz w:val="28"/>
          <w:szCs w:val="28"/>
          <w:shd w:val="clear" w:color="auto" w:fill="FFFFFF"/>
        </w:rPr>
        <w:t>基本</w:t>
      </w:r>
      <w:r>
        <w:rPr>
          <w:rFonts w:eastAsia="仿宋"/>
          <w:sz w:val="28"/>
          <w:szCs w:val="28"/>
          <w:shd w:val="clear" w:color="auto" w:fill="FFFFFF"/>
        </w:rPr>
        <w:t>成果</w:t>
      </w:r>
      <w:r>
        <w:rPr>
          <w:rFonts w:hint="eastAsia" w:eastAsia="仿宋"/>
          <w:sz w:val="28"/>
          <w:szCs w:val="28"/>
          <w:shd w:val="clear" w:color="auto" w:fill="FFFFFF"/>
        </w:rPr>
        <w:t>类：主要</w:t>
      </w:r>
      <w:r>
        <w:rPr>
          <w:rFonts w:hint="eastAsia" w:eastAsia="仿宋"/>
          <w:sz w:val="28"/>
          <w:szCs w:val="28"/>
        </w:rPr>
        <w:t>分为教学成果和科研成果。公共服务类业绩可冲抵成果类业绩。</w:t>
      </w:r>
    </w:p>
    <w:p>
      <w:pPr>
        <w:snapToGrid w:val="0"/>
        <w:spacing w:line="520" w:lineRule="exact"/>
        <w:ind w:firstLine="560" w:firstLineChars="200"/>
        <w:rPr>
          <w:rFonts w:eastAsia="仿宋"/>
          <w:sz w:val="28"/>
          <w:szCs w:val="28"/>
        </w:rPr>
      </w:pPr>
      <w:r>
        <w:rPr>
          <w:rFonts w:hint="eastAsia" w:eastAsia="仿宋"/>
          <w:sz w:val="28"/>
          <w:szCs w:val="28"/>
        </w:rPr>
        <w:t>（3）基本公共服务：包括</w:t>
      </w:r>
      <w:r>
        <w:rPr>
          <w:rFonts w:eastAsia="仿宋"/>
          <w:sz w:val="28"/>
          <w:szCs w:val="28"/>
        </w:rPr>
        <w:t>内设</w:t>
      </w:r>
      <w:r>
        <w:rPr>
          <w:rFonts w:hint="eastAsia" w:eastAsia="仿宋"/>
          <w:sz w:val="28"/>
          <w:szCs w:val="28"/>
        </w:rPr>
        <w:t>教研室主任</w:t>
      </w:r>
      <w:r>
        <w:rPr>
          <w:rFonts w:eastAsia="仿宋"/>
          <w:sz w:val="28"/>
          <w:szCs w:val="28"/>
        </w:rPr>
        <w:t>、班主任</w:t>
      </w:r>
      <w:r>
        <w:rPr>
          <w:rFonts w:hint="eastAsia" w:eastAsia="仿宋"/>
          <w:sz w:val="28"/>
          <w:szCs w:val="28"/>
        </w:rPr>
        <w:t>、</w:t>
      </w:r>
      <w:r>
        <w:rPr>
          <w:rFonts w:eastAsia="仿宋"/>
          <w:sz w:val="28"/>
          <w:szCs w:val="28"/>
        </w:rPr>
        <w:t>兼职党务、行政、分工会等工作以及</w:t>
      </w:r>
      <w:r>
        <w:rPr>
          <w:rFonts w:hint="eastAsia" w:eastAsia="仿宋"/>
          <w:sz w:val="28"/>
          <w:szCs w:val="28"/>
        </w:rPr>
        <w:t>学部</w:t>
      </w:r>
      <w:r>
        <w:rPr>
          <w:rFonts w:eastAsia="仿宋"/>
          <w:sz w:val="28"/>
          <w:szCs w:val="28"/>
        </w:rPr>
        <w:t>认可的其他公共服务</w:t>
      </w:r>
      <w:r>
        <w:rPr>
          <w:rFonts w:hint="eastAsia" w:eastAsia="仿宋"/>
          <w:sz w:val="28"/>
          <w:szCs w:val="28"/>
        </w:rPr>
        <w:t>。</w:t>
      </w:r>
    </w:p>
    <w:p>
      <w:pPr>
        <w:snapToGrid w:val="0"/>
        <w:spacing w:line="520" w:lineRule="exact"/>
        <w:ind w:firstLine="560" w:firstLineChars="200"/>
        <w:rPr>
          <w:rFonts w:eastAsia="仿宋"/>
          <w:sz w:val="28"/>
          <w:szCs w:val="28"/>
        </w:rPr>
      </w:pPr>
      <w:r>
        <w:rPr>
          <w:rFonts w:hint="eastAsia" w:eastAsia="仿宋"/>
          <w:sz w:val="28"/>
          <w:szCs w:val="28"/>
        </w:rPr>
        <w:t>2.考核办法</w:t>
      </w:r>
    </w:p>
    <w:p>
      <w:pPr>
        <w:snapToGrid w:val="0"/>
        <w:spacing w:line="520" w:lineRule="exact"/>
        <w:ind w:firstLine="560" w:firstLineChars="200"/>
        <w:rPr>
          <w:rStyle w:val="21"/>
          <w:rFonts w:hint="default" w:ascii="Times New Roman" w:hAnsi="Times New Roman" w:cs="Times New Roman"/>
          <w:color w:val="auto"/>
          <w:lang w:bidi="ar"/>
        </w:rPr>
      </w:pPr>
      <w:r>
        <w:rPr>
          <w:rFonts w:eastAsia="仿宋"/>
          <w:sz w:val="28"/>
          <w:szCs w:val="28"/>
        </w:rPr>
        <w:t>各</w:t>
      </w:r>
      <w:r>
        <w:rPr>
          <w:rFonts w:hint="eastAsia" w:eastAsia="仿宋"/>
          <w:sz w:val="28"/>
          <w:szCs w:val="28"/>
        </w:rPr>
        <w:t>学部</w:t>
      </w:r>
      <w:r>
        <w:rPr>
          <w:rFonts w:eastAsia="仿宋"/>
          <w:sz w:val="28"/>
          <w:szCs w:val="28"/>
        </w:rPr>
        <w:t>应根据本</w:t>
      </w:r>
      <w:r>
        <w:rPr>
          <w:rFonts w:hint="eastAsia" w:eastAsia="仿宋"/>
          <w:sz w:val="28"/>
          <w:szCs w:val="28"/>
        </w:rPr>
        <w:t>部门</w:t>
      </w:r>
      <w:r>
        <w:rPr>
          <w:rFonts w:eastAsia="仿宋"/>
          <w:sz w:val="28"/>
          <w:szCs w:val="28"/>
        </w:rPr>
        <w:t>专任教师队伍的实际情况，结合</w:t>
      </w:r>
      <w:r>
        <w:rPr>
          <w:rFonts w:hint="eastAsia" w:eastAsia="仿宋"/>
          <w:sz w:val="28"/>
          <w:szCs w:val="28"/>
        </w:rPr>
        <w:t>学院</w:t>
      </w:r>
      <w:r>
        <w:rPr>
          <w:rFonts w:eastAsia="仿宋"/>
          <w:sz w:val="28"/>
          <w:szCs w:val="28"/>
        </w:rPr>
        <w:t>发展目标任务，在统筹安排各项工作任务的基础上，修订完善</w:t>
      </w:r>
      <w:r>
        <w:rPr>
          <w:rFonts w:hint="eastAsia" w:eastAsia="仿宋"/>
          <w:sz w:val="28"/>
          <w:szCs w:val="28"/>
        </w:rPr>
        <w:t>学部专业教师岗位</w:t>
      </w:r>
      <w:r>
        <w:rPr>
          <w:rFonts w:eastAsia="仿宋"/>
          <w:sz w:val="28"/>
          <w:szCs w:val="28"/>
        </w:rPr>
        <w:t>各级档年度基本工作任务要求。岗位绩效定档级档越高，基本工作任务要求越高</w:t>
      </w:r>
      <w:r>
        <w:rPr>
          <w:rFonts w:hint="eastAsia" w:eastAsia="仿宋"/>
          <w:sz w:val="28"/>
          <w:szCs w:val="28"/>
        </w:rPr>
        <w:t>：</w:t>
      </w:r>
    </w:p>
    <w:p>
      <w:pPr>
        <w:snapToGrid w:val="0"/>
        <w:spacing w:line="520" w:lineRule="exact"/>
        <w:ind w:firstLine="560" w:firstLineChars="200"/>
        <w:rPr>
          <w:rFonts w:eastAsia="仿宋"/>
          <w:sz w:val="28"/>
          <w:szCs w:val="28"/>
        </w:rPr>
      </w:pPr>
      <w:r>
        <w:rPr>
          <w:rFonts w:hint="eastAsia" w:eastAsia="仿宋"/>
          <w:sz w:val="28"/>
          <w:szCs w:val="28"/>
        </w:rPr>
        <w:t>（1）基本教学工作量考核</w:t>
      </w:r>
    </w:p>
    <w:p>
      <w:pPr>
        <w:snapToGrid w:val="0"/>
        <w:spacing w:line="520" w:lineRule="exact"/>
        <w:ind w:firstLine="560" w:firstLineChars="200"/>
        <w:rPr>
          <w:rFonts w:eastAsia="仿宋"/>
          <w:sz w:val="28"/>
          <w:szCs w:val="28"/>
          <w:shd w:val="clear" w:color="auto" w:fill="FFFFFF"/>
        </w:rPr>
      </w:pPr>
      <w:r>
        <w:rPr>
          <w:rStyle w:val="21"/>
          <w:rFonts w:hint="default" w:ascii="Times New Roman" w:hAnsi="Times New Roman" w:cs="Times New Roman"/>
          <w:color w:val="auto"/>
          <w:sz w:val="28"/>
          <w:szCs w:val="28"/>
          <w:lang w:bidi="ar"/>
        </w:rPr>
        <w:t>学</w:t>
      </w:r>
      <w:r>
        <w:rPr>
          <w:rFonts w:eastAsia="仿宋"/>
          <w:kern w:val="0"/>
          <w:sz w:val="28"/>
          <w:szCs w:val="28"/>
        </w:rPr>
        <w:t>部提供的专业教师年度基本工作任务完成比例</w:t>
      </w:r>
      <w:r>
        <w:rPr>
          <w:rFonts w:hint="eastAsia" w:eastAsia="仿宋"/>
          <w:kern w:val="0"/>
          <w:sz w:val="28"/>
          <w:szCs w:val="28"/>
        </w:rPr>
        <w:t>应</w:t>
      </w:r>
      <w:r>
        <w:rPr>
          <w:rFonts w:eastAsia="仿宋"/>
          <w:kern w:val="0"/>
          <w:sz w:val="28"/>
          <w:szCs w:val="28"/>
        </w:rPr>
        <w:t>与杏林学院教学工作基本量完成情况相结合</w:t>
      </w:r>
      <w:r>
        <w:rPr>
          <w:rFonts w:hint="eastAsia" w:eastAsia="仿宋"/>
          <w:kern w:val="0"/>
          <w:sz w:val="28"/>
          <w:szCs w:val="28"/>
        </w:rPr>
        <w:t>，</w:t>
      </w:r>
      <w:r>
        <w:rPr>
          <w:rFonts w:eastAsia="仿宋"/>
          <w:sz w:val="28"/>
          <w:szCs w:val="28"/>
        </w:rPr>
        <w:t>完成“杏林学院教学工作基本量”的</w:t>
      </w:r>
      <w:r>
        <w:rPr>
          <w:rFonts w:hint="eastAsia" w:eastAsia="仿宋"/>
          <w:sz w:val="28"/>
          <w:szCs w:val="28"/>
        </w:rPr>
        <w:t>80%及以上的，</w:t>
      </w:r>
      <w:r>
        <w:rPr>
          <w:rFonts w:hint="eastAsia" w:eastAsia="仿宋"/>
          <w:sz w:val="28"/>
          <w:szCs w:val="28"/>
          <w:shd w:val="clear" w:color="auto" w:fill="FFFFFF"/>
        </w:rPr>
        <w:t>考核结果为已达标</w:t>
      </w:r>
      <w:r>
        <w:rPr>
          <w:rFonts w:eastAsia="仿宋"/>
          <w:sz w:val="28"/>
          <w:szCs w:val="28"/>
        </w:rPr>
        <w:t>；完成50%~80%，按相应比例计发</w:t>
      </w:r>
      <w:r>
        <w:rPr>
          <w:rFonts w:hint="eastAsia" w:eastAsia="仿宋"/>
          <w:sz w:val="28"/>
          <w:szCs w:val="28"/>
        </w:rPr>
        <w:t>，</w:t>
      </w:r>
      <w:r>
        <w:rPr>
          <w:rFonts w:hint="eastAsia" w:eastAsia="仿宋"/>
          <w:sz w:val="28"/>
          <w:szCs w:val="28"/>
          <w:shd w:val="clear" w:color="auto" w:fill="FFFFFF"/>
        </w:rPr>
        <w:t>考核结果为基本达标</w:t>
      </w:r>
      <w:r>
        <w:rPr>
          <w:rFonts w:eastAsia="仿宋"/>
          <w:sz w:val="28"/>
          <w:szCs w:val="28"/>
        </w:rPr>
        <w:t>；低于50%视情况经党政联席会议讨论批准，直至扣发全年津贴</w:t>
      </w:r>
      <w:r>
        <w:rPr>
          <w:rFonts w:hint="eastAsia" w:eastAsia="仿宋"/>
          <w:sz w:val="28"/>
          <w:szCs w:val="28"/>
        </w:rPr>
        <w:t>，</w:t>
      </w:r>
      <w:r>
        <w:rPr>
          <w:rFonts w:hint="eastAsia" w:eastAsia="仿宋"/>
          <w:sz w:val="28"/>
          <w:szCs w:val="28"/>
          <w:shd w:val="clear" w:color="auto" w:fill="FFFFFF"/>
        </w:rPr>
        <w:t>考核结果为未达标。</w:t>
      </w:r>
    </w:p>
    <w:p>
      <w:pPr>
        <w:snapToGrid w:val="0"/>
        <w:spacing w:line="520" w:lineRule="exact"/>
        <w:ind w:firstLine="560" w:firstLineChars="200"/>
        <w:rPr>
          <w:rFonts w:eastAsia="仿宋"/>
          <w:sz w:val="28"/>
          <w:szCs w:val="28"/>
          <w:shd w:val="clear" w:color="auto" w:fill="FFFFFF"/>
        </w:rPr>
      </w:pPr>
      <w:r>
        <w:rPr>
          <w:rFonts w:eastAsia="仿宋"/>
          <w:sz w:val="28"/>
          <w:szCs w:val="28"/>
        </w:rPr>
        <w:t>专业教师岗位聘任在本层级高档者原则上其教学工作量不得低于“学部教学工作量定额标准”当年度教学工作量标准的100%，在本层级中档原则上不得低于90%，定在本层级低档原则上不得低于80</w:t>
      </w:r>
      <w:r>
        <w:rPr>
          <w:rFonts w:hint="eastAsia" w:eastAsia="仿宋"/>
          <w:sz w:val="28"/>
          <w:szCs w:val="28"/>
        </w:rPr>
        <w:t>%。</w:t>
      </w:r>
    </w:p>
    <w:p>
      <w:pPr>
        <w:snapToGrid w:val="0"/>
        <w:spacing w:line="520" w:lineRule="exact"/>
        <w:ind w:firstLine="560" w:firstLineChars="200"/>
        <w:rPr>
          <w:rFonts w:eastAsia="仿宋"/>
          <w:sz w:val="28"/>
          <w:szCs w:val="28"/>
          <w:shd w:val="clear" w:color="auto" w:fill="FFFFFF"/>
        </w:rPr>
      </w:pPr>
      <w:r>
        <w:rPr>
          <w:rFonts w:hint="eastAsia" w:eastAsia="仿宋"/>
          <w:sz w:val="28"/>
          <w:szCs w:val="28"/>
          <w:shd w:val="clear" w:color="auto" w:fill="FFFFFF"/>
        </w:rPr>
        <w:t>（2）基本成果类和公共服务类考查</w:t>
      </w:r>
    </w:p>
    <w:p>
      <w:pPr>
        <w:snapToGrid w:val="0"/>
        <w:spacing w:line="520" w:lineRule="exact"/>
        <w:ind w:firstLine="560" w:firstLineChars="200"/>
        <w:rPr>
          <w:rFonts w:eastAsia="仿宋"/>
          <w:sz w:val="28"/>
          <w:szCs w:val="28"/>
          <w:shd w:val="clear" w:color="auto" w:fill="FFFFFF"/>
        </w:rPr>
      </w:pPr>
      <w:r>
        <w:rPr>
          <w:rFonts w:hint="eastAsia" w:eastAsia="仿宋"/>
          <w:sz w:val="28"/>
          <w:szCs w:val="28"/>
        </w:rPr>
        <w:t>基本成果类和基本公共服务考察范围及要求由学部认定。</w:t>
      </w:r>
      <w:r>
        <w:rPr>
          <w:rFonts w:hint="eastAsia" w:eastAsia="仿宋"/>
          <w:sz w:val="28"/>
          <w:szCs w:val="28"/>
          <w:shd w:val="clear" w:color="auto" w:fill="FFFFFF"/>
        </w:rPr>
        <w:t>2023年须至少各完成1项</w:t>
      </w:r>
      <w:r>
        <w:rPr>
          <w:rFonts w:hint="eastAsia" w:eastAsia="仿宋"/>
          <w:sz w:val="28"/>
          <w:szCs w:val="28"/>
        </w:rPr>
        <w:t>基本</w:t>
      </w:r>
      <w:r>
        <w:rPr>
          <w:rFonts w:hint="eastAsia" w:eastAsia="仿宋"/>
          <w:sz w:val="28"/>
          <w:szCs w:val="28"/>
          <w:shd w:val="clear" w:color="auto" w:fill="FFFFFF"/>
        </w:rPr>
        <w:t>成果和1项</w:t>
      </w:r>
      <w:r>
        <w:rPr>
          <w:rFonts w:hint="eastAsia" w:eastAsia="仿宋"/>
          <w:sz w:val="28"/>
          <w:szCs w:val="28"/>
        </w:rPr>
        <w:t>基本</w:t>
      </w:r>
      <w:r>
        <w:rPr>
          <w:rFonts w:hint="eastAsia" w:eastAsia="仿宋"/>
          <w:sz w:val="28"/>
          <w:szCs w:val="28"/>
          <w:shd w:val="clear" w:color="auto" w:fill="FFFFFF"/>
        </w:rPr>
        <w:t>公共服务，从2024年起学部应结合第二轮定档结果和学部发展目标修订各档级</w:t>
      </w:r>
      <w:r>
        <w:rPr>
          <w:rFonts w:eastAsia="仿宋"/>
          <w:sz w:val="28"/>
          <w:szCs w:val="28"/>
          <w:shd w:val="clear" w:color="auto" w:fill="FFFFFF"/>
        </w:rPr>
        <w:t>“年度</w:t>
      </w:r>
      <w:r>
        <w:rPr>
          <w:rFonts w:hint="eastAsia" w:eastAsia="仿宋"/>
          <w:sz w:val="28"/>
          <w:szCs w:val="28"/>
          <w:shd w:val="clear" w:color="auto" w:fill="FFFFFF"/>
        </w:rPr>
        <w:t>基本工作任务</w:t>
      </w:r>
      <w:r>
        <w:rPr>
          <w:rFonts w:eastAsia="仿宋"/>
          <w:sz w:val="28"/>
          <w:szCs w:val="28"/>
          <w:shd w:val="clear" w:color="auto" w:fill="FFFFFF"/>
        </w:rPr>
        <w:t>”</w:t>
      </w:r>
      <w:r>
        <w:rPr>
          <w:rFonts w:hint="eastAsia" w:eastAsia="仿宋"/>
          <w:sz w:val="28"/>
          <w:szCs w:val="28"/>
          <w:shd w:val="clear" w:color="auto" w:fill="FFFFFF"/>
        </w:rPr>
        <w:t>要求。</w:t>
      </w:r>
    </w:p>
    <w:p>
      <w:pPr>
        <w:snapToGrid w:val="0"/>
        <w:spacing w:line="520" w:lineRule="exact"/>
        <w:ind w:firstLine="560" w:firstLineChars="200"/>
        <w:rPr>
          <w:rFonts w:eastAsia="仿宋"/>
          <w:sz w:val="28"/>
          <w:szCs w:val="28"/>
          <w:shd w:val="clear" w:color="auto" w:fill="FFFFFF"/>
        </w:rPr>
      </w:pPr>
      <w:r>
        <w:rPr>
          <w:rFonts w:hint="eastAsia" w:eastAsia="仿宋"/>
          <w:sz w:val="28"/>
          <w:szCs w:val="28"/>
        </w:rPr>
        <w:t>基本</w:t>
      </w:r>
      <w:r>
        <w:rPr>
          <w:rFonts w:hint="eastAsia" w:eastAsia="仿宋"/>
          <w:sz w:val="28"/>
          <w:szCs w:val="28"/>
          <w:shd w:val="clear" w:color="auto" w:fill="FFFFFF"/>
        </w:rPr>
        <w:t>成果类和</w:t>
      </w:r>
      <w:r>
        <w:rPr>
          <w:rFonts w:hint="eastAsia" w:eastAsia="仿宋"/>
          <w:sz w:val="28"/>
          <w:szCs w:val="28"/>
        </w:rPr>
        <w:t>基本</w:t>
      </w:r>
      <w:r>
        <w:rPr>
          <w:rFonts w:hint="eastAsia" w:eastAsia="仿宋"/>
          <w:sz w:val="28"/>
          <w:szCs w:val="28"/>
          <w:shd w:val="clear" w:color="auto" w:fill="FFFFFF"/>
        </w:rPr>
        <w:t>公共服务考查结果分为“达标”和“未达标”。如当年度因特殊情况“未达标”的，相关业绩要求计入次年。第二轮定档周期结束后仍不达标的，下轮定档结果不得高于本轮层级。</w:t>
      </w:r>
    </w:p>
    <w:p>
      <w:pPr>
        <w:snapToGrid w:val="0"/>
        <w:spacing w:line="520" w:lineRule="exact"/>
        <w:ind w:firstLine="560" w:firstLineChars="200"/>
        <w:rPr>
          <w:rFonts w:eastAsia="仿宋"/>
          <w:sz w:val="28"/>
          <w:szCs w:val="28"/>
        </w:rPr>
      </w:pPr>
      <w:r>
        <w:rPr>
          <w:rFonts w:hint="eastAsia" w:eastAsia="仿宋"/>
          <w:sz w:val="28"/>
          <w:szCs w:val="28"/>
        </w:rPr>
        <w:t>3.考核结果</w:t>
      </w:r>
    </w:p>
    <w:p>
      <w:pPr>
        <w:snapToGrid w:val="0"/>
        <w:spacing w:line="520" w:lineRule="exact"/>
        <w:ind w:firstLine="560" w:firstLineChars="200"/>
        <w:rPr>
          <w:rFonts w:eastAsia="仿宋"/>
          <w:sz w:val="28"/>
          <w:szCs w:val="28"/>
        </w:rPr>
      </w:pPr>
      <w:r>
        <w:rPr>
          <w:rFonts w:hint="eastAsia" w:eastAsia="仿宋"/>
          <w:sz w:val="28"/>
          <w:szCs w:val="28"/>
        </w:rPr>
        <w:t>学部</w:t>
      </w:r>
      <w:r>
        <w:rPr>
          <w:rFonts w:eastAsia="仿宋"/>
          <w:sz w:val="28"/>
          <w:szCs w:val="28"/>
        </w:rPr>
        <w:t>对照</w:t>
      </w:r>
      <w:r>
        <w:rPr>
          <w:rFonts w:hint="eastAsia" w:eastAsia="仿宋"/>
          <w:sz w:val="28"/>
          <w:szCs w:val="28"/>
        </w:rPr>
        <w:t>本部门的</w:t>
      </w:r>
      <w:r>
        <w:rPr>
          <w:rFonts w:eastAsia="仿宋"/>
          <w:sz w:val="28"/>
          <w:szCs w:val="28"/>
        </w:rPr>
        <w:t>年度基本工作任务自行组织对</w:t>
      </w:r>
      <w:r>
        <w:rPr>
          <w:rFonts w:hint="eastAsia" w:eastAsia="仿宋"/>
          <w:sz w:val="28"/>
          <w:szCs w:val="28"/>
        </w:rPr>
        <w:t>专业教师</w:t>
      </w:r>
      <w:r>
        <w:rPr>
          <w:rFonts w:eastAsia="仿宋"/>
          <w:sz w:val="28"/>
          <w:szCs w:val="28"/>
        </w:rPr>
        <w:t>年度绩效评价。完成年度基本工作任务的</w:t>
      </w:r>
      <w:r>
        <w:rPr>
          <w:rFonts w:hint="eastAsia" w:eastAsia="仿宋"/>
          <w:sz w:val="28"/>
          <w:szCs w:val="28"/>
        </w:rPr>
        <w:t>专业教师</w:t>
      </w:r>
      <w:r>
        <w:rPr>
          <w:rFonts w:eastAsia="仿宋"/>
          <w:sz w:val="28"/>
          <w:szCs w:val="28"/>
        </w:rPr>
        <w:t>，年度绩效评价为达标；对于未完成年度基本工作任务的，须计算其年度基本工作任务完成比例</w:t>
      </w:r>
      <w:r>
        <w:rPr>
          <w:rFonts w:hint="eastAsia" w:eastAsia="仿宋"/>
          <w:sz w:val="28"/>
          <w:szCs w:val="28"/>
        </w:rPr>
        <w:t>。</w:t>
      </w:r>
      <w:r>
        <w:rPr>
          <w:rFonts w:eastAsia="仿宋"/>
          <w:sz w:val="28"/>
          <w:szCs w:val="28"/>
        </w:rPr>
        <w:t>各</w:t>
      </w:r>
      <w:r>
        <w:rPr>
          <w:rFonts w:hint="eastAsia" w:eastAsia="仿宋"/>
          <w:sz w:val="28"/>
          <w:szCs w:val="28"/>
        </w:rPr>
        <w:t>学部须</w:t>
      </w:r>
      <w:r>
        <w:rPr>
          <w:rFonts w:eastAsia="仿宋"/>
          <w:sz w:val="28"/>
          <w:szCs w:val="28"/>
        </w:rPr>
        <w:t>将本</w:t>
      </w:r>
      <w:r>
        <w:rPr>
          <w:rFonts w:hint="eastAsia" w:eastAsia="仿宋"/>
          <w:sz w:val="28"/>
          <w:szCs w:val="28"/>
        </w:rPr>
        <w:t>部门</w:t>
      </w:r>
      <w:r>
        <w:rPr>
          <w:rFonts w:eastAsia="仿宋"/>
          <w:sz w:val="28"/>
          <w:szCs w:val="28"/>
        </w:rPr>
        <w:t>教职工年度基本工作任务</w:t>
      </w:r>
      <w:r>
        <w:rPr>
          <w:rFonts w:hint="eastAsia" w:eastAsia="仿宋"/>
          <w:sz w:val="28"/>
          <w:szCs w:val="28"/>
        </w:rPr>
        <w:t>考核</w:t>
      </w:r>
      <w:r>
        <w:rPr>
          <w:rFonts w:eastAsia="仿宋"/>
          <w:sz w:val="28"/>
          <w:szCs w:val="28"/>
        </w:rPr>
        <w:t>情况公示后报</w:t>
      </w:r>
      <w:r>
        <w:rPr>
          <w:rFonts w:hint="eastAsia" w:eastAsia="仿宋"/>
          <w:sz w:val="28"/>
          <w:szCs w:val="28"/>
        </w:rPr>
        <w:t>学院办公室备案</w:t>
      </w:r>
      <w:r>
        <w:rPr>
          <w:rFonts w:eastAsia="仿宋"/>
          <w:sz w:val="28"/>
          <w:szCs w:val="28"/>
        </w:rPr>
        <w:t>。</w:t>
      </w:r>
      <w:r>
        <w:rPr>
          <w:rFonts w:hint="eastAsia" w:eastAsia="仿宋"/>
          <w:sz w:val="28"/>
          <w:szCs w:val="28"/>
        </w:rPr>
        <w:t>学院</w:t>
      </w:r>
      <w:r>
        <w:rPr>
          <w:rFonts w:eastAsia="仿宋"/>
          <w:sz w:val="28"/>
          <w:szCs w:val="28"/>
        </w:rPr>
        <w:t>按其年度基本工作任务实际完成比例结算全年岗位奖励津贴</w:t>
      </w:r>
      <w:r>
        <w:rPr>
          <w:rFonts w:hint="eastAsia" w:eastAsia="仿宋"/>
          <w:sz w:val="28"/>
          <w:szCs w:val="28"/>
        </w:rPr>
        <w:t>，</w:t>
      </w:r>
      <w:r>
        <w:rPr>
          <w:rFonts w:eastAsia="仿宋"/>
          <w:sz w:val="28"/>
          <w:szCs w:val="28"/>
        </w:rPr>
        <w:t>岗位奖励津贴相关扣发按《</w:t>
      </w:r>
      <w:r>
        <w:rPr>
          <w:rFonts w:hint="eastAsia" w:eastAsia="仿宋"/>
          <w:sz w:val="28"/>
          <w:szCs w:val="28"/>
        </w:rPr>
        <w:t>岗位奖励津贴扣发办法</w:t>
      </w:r>
      <w:r>
        <w:rPr>
          <w:rFonts w:eastAsia="仿宋"/>
          <w:sz w:val="28"/>
          <w:szCs w:val="28"/>
        </w:rPr>
        <w:t>》</w:t>
      </w:r>
      <w:r>
        <w:rPr>
          <w:rFonts w:hint="eastAsia" w:eastAsia="仿宋"/>
          <w:sz w:val="28"/>
          <w:szCs w:val="28"/>
        </w:rPr>
        <w:t>（附件2）</w:t>
      </w:r>
      <w:r>
        <w:rPr>
          <w:rFonts w:eastAsia="仿宋"/>
          <w:sz w:val="28"/>
          <w:szCs w:val="28"/>
        </w:rPr>
        <w:t>执行。</w:t>
      </w:r>
    </w:p>
    <w:p>
      <w:pPr>
        <w:snapToGrid w:val="0"/>
        <w:spacing w:line="520" w:lineRule="exact"/>
        <w:ind w:firstLine="562" w:firstLineChars="200"/>
        <w:rPr>
          <w:rFonts w:eastAsia="仿宋"/>
          <w:b/>
          <w:bCs/>
          <w:sz w:val="28"/>
          <w:szCs w:val="28"/>
        </w:rPr>
      </w:pPr>
      <w:r>
        <w:rPr>
          <w:rFonts w:hint="eastAsia" w:eastAsia="仿宋"/>
          <w:b/>
          <w:bCs/>
          <w:sz w:val="28"/>
          <w:szCs w:val="28"/>
        </w:rPr>
        <w:t>（二）其他岗位</w:t>
      </w:r>
    </w:p>
    <w:p>
      <w:pPr>
        <w:snapToGrid w:val="0"/>
        <w:spacing w:line="520" w:lineRule="exact"/>
        <w:ind w:firstLine="560" w:firstLineChars="200"/>
        <w:rPr>
          <w:rFonts w:eastAsia="仿宋"/>
          <w:sz w:val="28"/>
          <w:szCs w:val="28"/>
        </w:rPr>
      </w:pPr>
      <w:r>
        <w:rPr>
          <w:rFonts w:hint="eastAsia" w:eastAsia="仿宋"/>
          <w:sz w:val="28"/>
          <w:szCs w:val="28"/>
        </w:rPr>
        <w:t>1.专职辅导员岗位年度考核结果由学生工作处提供到所在学部。</w:t>
      </w:r>
    </w:p>
    <w:p>
      <w:pPr>
        <w:snapToGrid w:val="0"/>
        <w:spacing w:line="520" w:lineRule="exact"/>
        <w:ind w:firstLine="560" w:firstLineChars="200"/>
        <w:rPr>
          <w:rFonts w:eastAsia="仿宋"/>
          <w:sz w:val="28"/>
          <w:szCs w:val="28"/>
        </w:rPr>
      </w:pPr>
      <w:r>
        <w:rPr>
          <w:rFonts w:hint="eastAsia" w:eastAsia="仿宋"/>
          <w:sz w:val="28"/>
          <w:szCs w:val="28"/>
        </w:rPr>
        <w:t>2.实验技术岗位年度考核结果由负责考勤的学院或部门提供到所在学部</w:t>
      </w:r>
      <w:r>
        <w:rPr>
          <w:rFonts w:eastAsia="仿宋"/>
          <w:sz w:val="28"/>
          <w:szCs w:val="28"/>
        </w:rPr>
        <w:t>。</w:t>
      </w:r>
    </w:p>
    <w:p>
      <w:pPr>
        <w:snapToGrid w:val="0"/>
        <w:spacing w:line="520" w:lineRule="exact"/>
        <w:ind w:firstLine="560" w:firstLineChars="200"/>
        <w:rPr>
          <w:rFonts w:eastAsia="仿宋"/>
          <w:sz w:val="28"/>
          <w:szCs w:val="28"/>
        </w:rPr>
      </w:pPr>
      <w:r>
        <w:rPr>
          <w:rFonts w:hint="eastAsia" w:eastAsia="仿宋"/>
          <w:sz w:val="28"/>
          <w:szCs w:val="28"/>
        </w:rPr>
        <w:t>3.党政管理岗由学部参照</w:t>
      </w:r>
      <w:r>
        <w:rPr>
          <w:rFonts w:eastAsia="仿宋"/>
          <w:sz w:val="28"/>
          <w:szCs w:val="28"/>
        </w:rPr>
        <w:t>职能部门</w:t>
      </w:r>
      <w:r>
        <w:rPr>
          <w:rFonts w:hint="eastAsia" w:eastAsia="仿宋"/>
          <w:sz w:val="28"/>
          <w:szCs w:val="28"/>
        </w:rPr>
        <w:t>制定标准进行</w:t>
      </w:r>
      <w:r>
        <w:rPr>
          <w:rFonts w:eastAsia="仿宋"/>
          <w:sz w:val="28"/>
          <w:szCs w:val="28"/>
        </w:rPr>
        <w:t>考核</w:t>
      </w:r>
      <w:r>
        <w:rPr>
          <w:rFonts w:hint="eastAsia" w:eastAsia="仿宋"/>
          <w:sz w:val="28"/>
          <w:szCs w:val="28"/>
        </w:rPr>
        <w:t>。</w:t>
      </w:r>
    </w:p>
    <w:p>
      <w:pPr>
        <w:snapToGrid w:val="0"/>
        <w:spacing w:line="520" w:lineRule="exact"/>
        <w:ind w:firstLine="562" w:firstLineChars="200"/>
        <w:rPr>
          <w:rFonts w:eastAsia="仿宋"/>
          <w:b/>
          <w:bCs/>
          <w:sz w:val="28"/>
          <w:szCs w:val="28"/>
        </w:rPr>
      </w:pPr>
      <w:r>
        <w:rPr>
          <w:rFonts w:hint="eastAsia" w:eastAsia="仿宋"/>
          <w:b/>
          <w:bCs/>
          <w:sz w:val="28"/>
          <w:szCs w:val="28"/>
        </w:rPr>
        <w:t>二、业绩奖励津贴</w:t>
      </w:r>
    </w:p>
    <w:p>
      <w:pPr>
        <w:snapToGrid w:val="0"/>
        <w:spacing w:line="520" w:lineRule="exact"/>
        <w:ind w:firstLine="560" w:firstLineChars="200"/>
        <w:rPr>
          <w:rFonts w:eastAsia="仿宋"/>
          <w:sz w:val="28"/>
          <w:szCs w:val="28"/>
        </w:rPr>
      </w:pPr>
      <w:r>
        <w:rPr>
          <w:rFonts w:eastAsia="仿宋"/>
          <w:sz w:val="28"/>
          <w:szCs w:val="28"/>
        </w:rPr>
        <w:t>各学部在制定津贴二次分配的工作方案时，不允许直接套用</w:t>
      </w:r>
      <w:r>
        <w:rPr>
          <w:rFonts w:hint="eastAsia" w:eastAsia="仿宋"/>
          <w:sz w:val="28"/>
          <w:szCs w:val="28"/>
        </w:rPr>
        <w:t>学院</w:t>
      </w:r>
      <w:r>
        <w:rPr>
          <w:rFonts w:eastAsia="仿宋"/>
          <w:sz w:val="28"/>
          <w:szCs w:val="28"/>
        </w:rPr>
        <w:t>方案中切块和划拨津贴的计发办法，业绩奖励津贴分配</w:t>
      </w:r>
      <w:r>
        <w:rPr>
          <w:rFonts w:hint="eastAsia" w:eastAsia="仿宋"/>
          <w:sz w:val="28"/>
          <w:szCs w:val="28"/>
        </w:rPr>
        <w:t>应</w:t>
      </w:r>
      <w:r>
        <w:rPr>
          <w:rFonts w:hint="eastAsia" w:eastAsia="仿宋"/>
          <w:sz w:val="28"/>
          <w:szCs w:val="28"/>
          <w:shd w:val="clear" w:color="auto" w:fill="FFFFFF"/>
        </w:rPr>
        <w:t>以学院发展目标及学部发展需要为导向，</w:t>
      </w:r>
      <w:r>
        <w:rPr>
          <w:rFonts w:eastAsia="仿宋"/>
          <w:sz w:val="28"/>
          <w:szCs w:val="28"/>
        </w:rPr>
        <w:t>按照教职工当年工作业绩、实际贡献等情况，根据岗位性质和工作可量化程度，建立分类分型的业绩积分体系</w:t>
      </w:r>
      <w:r>
        <w:rPr>
          <w:rFonts w:hint="eastAsia" w:eastAsia="仿宋"/>
          <w:sz w:val="28"/>
          <w:szCs w:val="28"/>
        </w:rPr>
        <w:t>，合理确定专业教师岗、专职辅导员岗、实验技术岗、党政管理岗人员的分配原则和办法，根据学院划拨</w:t>
      </w:r>
      <w:r>
        <w:rPr>
          <w:rFonts w:eastAsia="仿宋"/>
          <w:sz w:val="28"/>
          <w:szCs w:val="28"/>
        </w:rPr>
        <w:t>津贴</w:t>
      </w:r>
      <w:r>
        <w:rPr>
          <w:rFonts w:hint="eastAsia" w:eastAsia="仿宋"/>
          <w:sz w:val="28"/>
          <w:szCs w:val="28"/>
        </w:rPr>
        <w:t>经费</w:t>
      </w:r>
      <w:r>
        <w:rPr>
          <w:rFonts w:eastAsia="仿宋"/>
          <w:sz w:val="28"/>
          <w:szCs w:val="28"/>
        </w:rPr>
        <w:t>总量</w:t>
      </w:r>
      <w:r>
        <w:rPr>
          <w:rFonts w:hint="eastAsia" w:eastAsia="仿宋"/>
          <w:sz w:val="28"/>
          <w:szCs w:val="28"/>
        </w:rPr>
        <w:t>二次分配。</w:t>
      </w:r>
    </w:p>
    <w:p>
      <w:pPr>
        <w:numPr>
          <w:ilvl w:val="0"/>
          <w:numId w:val="1"/>
        </w:numPr>
        <w:snapToGrid w:val="0"/>
        <w:spacing w:line="520" w:lineRule="exact"/>
        <w:ind w:firstLine="560" w:firstLineChars="200"/>
        <w:rPr>
          <w:rFonts w:eastAsia="仿宋"/>
          <w:sz w:val="28"/>
          <w:szCs w:val="28"/>
          <w:shd w:val="clear" w:color="auto" w:fill="FFFFFF"/>
        </w:rPr>
      </w:pPr>
      <w:r>
        <w:rPr>
          <w:rFonts w:hint="eastAsia" w:eastAsia="仿宋"/>
          <w:sz w:val="28"/>
          <w:szCs w:val="28"/>
          <w:shd w:val="clear" w:color="auto" w:fill="FFFFFF"/>
        </w:rPr>
        <w:t>专业教师岗位业绩奖励津贴分配，原则上采取按教学工作量业绩、成果类业绩、公共服务业绩计分方式计发，建议逐步落实三部分切块比例达：60</w:t>
      </w:r>
      <w:r>
        <w:rPr>
          <w:rStyle w:val="23"/>
          <w:rFonts w:hint="default"/>
          <w:color w:val="auto"/>
          <w:lang w:bidi="ar"/>
        </w:rPr>
        <w:t>～</w:t>
      </w:r>
      <w:r>
        <w:rPr>
          <w:rFonts w:hint="eastAsia" w:eastAsia="仿宋"/>
          <w:sz w:val="28"/>
          <w:szCs w:val="28"/>
          <w:shd w:val="clear" w:color="auto" w:fill="FFFFFF"/>
        </w:rPr>
        <w:t>80%、10</w:t>
      </w:r>
      <w:r>
        <w:rPr>
          <w:rStyle w:val="23"/>
          <w:rFonts w:hint="default"/>
          <w:color w:val="auto"/>
          <w:lang w:bidi="ar"/>
        </w:rPr>
        <w:t>～</w:t>
      </w:r>
      <w:r>
        <w:rPr>
          <w:rFonts w:hint="eastAsia" w:eastAsia="仿宋"/>
          <w:sz w:val="28"/>
          <w:szCs w:val="28"/>
          <w:shd w:val="clear" w:color="auto" w:fill="FFFFFF"/>
        </w:rPr>
        <w:t>20%、10</w:t>
      </w:r>
      <w:r>
        <w:rPr>
          <w:rStyle w:val="23"/>
          <w:rFonts w:hint="default"/>
          <w:color w:val="auto"/>
          <w:lang w:bidi="ar"/>
        </w:rPr>
        <w:t>～</w:t>
      </w:r>
      <w:r>
        <w:rPr>
          <w:rFonts w:hint="eastAsia" w:eastAsia="仿宋"/>
          <w:sz w:val="28"/>
          <w:szCs w:val="28"/>
          <w:shd w:val="clear" w:color="auto" w:fill="FFFFFF"/>
        </w:rPr>
        <w:t>20%。</w:t>
      </w:r>
    </w:p>
    <w:p>
      <w:pPr>
        <w:numPr>
          <w:ilvl w:val="0"/>
          <w:numId w:val="1"/>
        </w:numPr>
        <w:snapToGrid w:val="0"/>
        <w:spacing w:line="520" w:lineRule="exact"/>
        <w:ind w:firstLine="560" w:firstLineChars="200"/>
        <w:rPr>
          <w:rFonts w:eastAsia="仿宋"/>
          <w:sz w:val="28"/>
          <w:szCs w:val="28"/>
          <w:shd w:val="clear" w:color="auto" w:fill="FFFFFF"/>
        </w:rPr>
      </w:pPr>
      <w:r>
        <w:rPr>
          <w:rFonts w:hint="eastAsia" w:eastAsia="仿宋"/>
          <w:sz w:val="28"/>
          <w:szCs w:val="28"/>
          <w:shd w:val="clear" w:color="auto" w:fill="FFFFFF"/>
        </w:rPr>
        <w:t>成果类和服务类业绩单价由学部按照当年度两类业绩总分和切块划分经费总额确定，每年浮动比例控制在合理范围内，保障工作推进的连续性和平稳性。</w:t>
      </w:r>
    </w:p>
    <w:p>
      <w:pPr>
        <w:numPr>
          <w:ilvl w:val="0"/>
          <w:numId w:val="1"/>
        </w:numPr>
        <w:snapToGrid w:val="0"/>
        <w:spacing w:line="520" w:lineRule="exact"/>
        <w:ind w:firstLine="560" w:firstLineChars="200"/>
        <w:rPr>
          <w:rFonts w:eastAsia="仿宋"/>
          <w:sz w:val="28"/>
          <w:szCs w:val="28"/>
          <w:shd w:val="clear" w:color="auto" w:fill="FFFFFF"/>
        </w:rPr>
      </w:pPr>
      <w:r>
        <w:rPr>
          <w:rFonts w:hint="eastAsia" w:eastAsia="仿宋"/>
          <w:sz w:val="28"/>
          <w:szCs w:val="28"/>
          <w:shd w:val="clear" w:color="auto" w:fill="FFFFFF"/>
        </w:rPr>
        <w:t>成果类业绩应以南通大学杏林学院为第一署名单位，具体实施可根据学部实际情况，</w:t>
      </w:r>
      <w:r>
        <w:rPr>
          <w:rFonts w:eastAsia="仿宋"/>
          <w:sz w:val="28"/>
          <w:szCs w:val="28"/>
          <w:shd w:val="clear" w:color="auto" w:fill="FFFFFF"/>
        </w:rPr>
        <w:t>同一成果不能多人重复使用</w:t>
      </w:r>
      <w:r>
        <w:rPr>
          <w:rFonts w:hint="eastAsia" w:eastAsia="仿宋"/>
          <w:sz w:val="28"/>
          <w:szCs w:val="28"/>
          <w:shd w:val="clear" w:color="auto" w:fill="FFFFFF"/>
        </w:rPr>
        <w:t>。</w:t>
      </w:r>
    </w:p>
    <w:p>
      <w:pPr>
        <w:snapToGrid w:val="0"/>
        <w:spacing w:line="560" w:lineRule="exact"/>
        <w:ind w:firstLine="560" w:firstLineChars="200"/>
        <w:rPr>
          <w:rFonts w:eastAsia="仿宋"/>
          <w:sz w:val="28"/>
          <w:szCs w:val="28"/>
        </w:rPr>
      </w:pPr>
      <w:r>
        <w:rPr>
          <w:rFonts w:hint="eastAsia" w:eastAsia="仿宋"/>
          <w:sz w:val="28"/>
          <w:szCs w:val="28"/>
        </w:rPr>
        <w:t>4.</w:t>
      </w:r>
      <w:r>
        <w:rPr>
          <w:rFonts w:eastAsia="仿宋"/>
          <w:sz w:val="28"/>
          <w:szCs w:val="28"/>
        </w:rPr>
        <w:t>受聘学院</w:t>
      </w:r>
      <w:r>
        <w:rPr>
          <w:rFonts w:hint="eastAsia" w:eastAsia="仿宋"/>
          <w:sz w:val="28"/>
          <w:szCs w:val="28"/>
        </w:rPr>
        <w:t>行政</w:t>
      </w:r>
      <w:r>
        <w:rPr>
          <w:rFonts w:eastAsia="仿宋"/>
          <w:sz w:val="28"/>
          <w:szCs w:val="28"/>
        </w:rPr>
        <w:t>管理岗位专业教师，</w:t>
      </w:r>
      <w:r>
        <w:rPr>
          <w:rFonts w:hint="eastAsia" w:eastAsia="仿宋"/>
          <w:sz w:val="28"/>
          <w:szCs w:val="28"/>
        </w:rPr>
        <w:t>或</w:t>
      </w:r>
      <w:r>
        <w:rPr>
          <w:rFonts w:eastAsia="仿宋"/>
          <w:sz w:val="28"/>
          <w:szCs w:val="28"/>
        </w:rPr>
        <w:t>学校批准的上级单位借调、学校派出挂职锻炼</w:t>
      </w:r>
      <w:r>
        <w:rPr>
          <w:rFonts w:hint="eastAsia" w:eastAsia="仿宋"/>
          <w:sz w:val="28"/>
          <w:szCs w:val="28"/>
        </w:rPr>
        <w:t>人员，</w:t>
      </w:r>
      <w:r>
        <w:rPr>
          <w:rFonts w:eastAsia="仿宋"/>
          <w:sz w:val="28"/>
          <w:szCs w:val="28"/>
        </w:rPr>
        <w:t>按照相应岗位教学工作量标准，</w:t>
      </w:r>
      <w:r>
        <w:rPr>
          <w:rFonts w:hint="eastAsia" w:eastAsia="仿宋"/>
          <w:sz w:val="28"/>
          <w:szCs w:val="28"/>
        </w:rPr>
        <w:t>120</w:t>
      </w:r>
      <w:r>
        <w:rPr>
          <w:rFonts w:eastAsia="仿宋"/>
          <w:sz w:val="28"/>
          <w:szCs w:val="28"/>
        </w:rPr>
        <w:t>%</w:t>
      </w:r>
      <w:r>
        <w:rPr>
          <w:rFonts w:hint="eastAsia" w:eastAsia="仿宋"/>
          <w:sz w:val="28"/>
          <w:szCs w:val="28"/>
        </w:rPr>
        <w:t>以内的</w:t>
      </w:r>
      <w:r>
        <w:rPr>
          <w:rFonts w:eastAsia="仿宋"/>
          <w:sz w:val="28"/>
          <w:szCs w:val="28"/>
        </w:rPr>
        <w:t>部分予以计发超课时津贴，</w:t>
      </w:r>
      <w:r>
        <w:rPr>
          <w:rFonts w:hint="eastAsia" w:eastAsia="仿宋"/>
          <w:sz w:val="28"/>
          <w:szCs w:val="28"/>
        </w:rPr>
        <w:t>原则上超过120%</w:t>
      </w:r>
      <w:r>
        <w:rPr>
          <w:rFonts w:eastAsia="仿宋"/>
          <w:sz w:val="28"/>
          <w:szCs w:val="28"/>
        </w:rPr>
        <w:t>以上的部分不予计发。</w:t>
      </w:r>
    </w:p>
    <w:p>
      <w:pPr>
        <w:snapToGrid w:val="0"/>
        <w:spacing w:line="520" w:lineRule="exact"/>
        <w:ind w:firstLine="560" w:firstLineChars="200"/>
        <w:rPr>
          <w:rFonts w:eastAsia="仿宋"/>
          <w:sz w:val="28"/>
          <w:szCs w:val="28"/>
          <w:shd w:val="clear" w:color="auto" w:fill="FFFFFF"/>
        </w:rPr>
      </w:pPr>
      <w:r>
        <w:rPr>
          <w:rFonts w:hint="eastAsia" w:eastAsia="仿宋"/>
          <w:sz w:val="28"/>
          <w:szCs w:val="28"/>
          <w:shd w:val="clear" w:color="auto" w:fill="FFFFFF"/>
        </w:rPr>
        <w:t>5.已取得相应酬金的业绩，其工作量认定由学部根据实际情况统筹。</w:t>
      </w:r>
    </w:p>
    <w:p>
      <w:pPr>
        <w:snapToGrid w:val="0"/>
        <w:spacing w:line="520" w:lineRule="exact"/>
        <w:ind w:firstLine="560" w:firstLineChars="200"/>
        <w:rPr>
          <w:rFonts w:eastAsia="仿宋"/>
          <w:sz w:val="28"/>
          <w:szCs w:val="28"/>
          <w:shd w:val="clear" w:color="auto" w:fill="FFFFFF"/>
        </w:rPr>
      </w:pPr>
      <w:r>
        <w:rPr>
          <w:rFonts w:hint="eastAsia" w:eastAsia="仿宋"/>
          <w:sz w:val="28"/>
          <w:szCs w:val="28"/>
          <w:shd w:val="clear" w:color="auto" w:fill="FFFFFF"/>
        </w:rPr>
        <w:t>6.学部本年度未分配使用完的业绩津贴经费结余可累计入下年使用。</w:t>
      </w:r>
    </w:p>
    <w:p>
      <w:pPr>
        <w:snapToGrid w:val="0"/>
        <w:spacing w:line="520" w:lineRule="exact"/>
        <w:ind w:firstLine="560" w:firstLineChars="200"/>
        <w:rPr>
          <w:rFonts w:eastAsia="仿宋"/>
          <w:sz w:val="28"/>
          <w:szCs w:val="28"/>
          <w:shd w:val="clear" w:color="auto" w:fill="FFFFFF"/>
        </w:rPr>
      </w:pPr>
    </w:p>
    <w:tbl>
      <w:tblPr>
        <w:tblStyle w:val="11"/>
        <w:tblW w:w="8163" w:type="dxa"/>
        <w:jc w:val="center"/>
        <w:tblLayout w:type="fixed"/>
        <w:tblCellMar>
          <w:top w:w="0" w:type="dxa"/>
          <w:left w:w="108" w:type="dxa"/>
          <w:bottom w:w="0" w:type="dxa"/>
          <w:right w:w="108" w:type="dxa"/>
        </w:tblCellMar>
      </w:tblPr>
      <w:tblGrid>
        <w:gridCol w:w="2721"/>
        <w:gridCol w:w="2721"/>
        <w:gridCol w:w="2721"/>
      </w:tblGrid>
      <w:tr>
        <w:tblPrEx>
          <w:tblCellMar>
            <w:top w:w="0" w:type="dxa"/>
            <w:left w:w="108" w:type="dxa"/>
            <w:bottom w:w="0" w:type="dxa"/>
            <w:right w:w="108" w:type="dxa"/>
          </w:tblCellMar>
        </w:tblPrEx>
        <w:trPr>
          <w:trHeight w:val="510" w:hRule="atLeast"/>
          <w:jc w:val="center"/>
        </w:trPr>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教学工作量业绩</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成果类业绩</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kern w:val="0"/>
                <w:sz w:val="28"/>
                <w:szCs w:val="28"/>
                <w:lang w:bidi="ar"/>
              </w:rPr>
            </w:pPr>
            <w:r>
              <w:rPr>
                <w:rFonts w:hint="eastAsia" w:ascii="仿宋" w:hAnsi="仿宋" w:eastAsia="仿宋" w:cs="仿宋"/>
                <w:kern w:val="0"/>
                <w:sz w:val="28"/>
                <w:szCs w:val="28"/>
                <w:lang w:bidi="ar"/>
              </w:rPr>
              <w:t>公共服务业绩</w:t>
            </w:r>
          </w:p>
        </w:tc>
      </w:tr>
      <w:tr>
        <w:tblPrEx>
          <w:tblCellMar>
            <w:top w:w="0" w:type="dxa"/>
            <w:left w:w="108" w:type="dxa"/>
            <w:bottom w:w="0" w:type="dxa"/>
            <w:right w:w="108" w:type="dxa"/>
          </w:tblCellMar>
        </w:tblPrEx>
        <w:trPr>
          <w:trHeight w:val="510" w:hRule="atLeast"/>
          <w:jc w:val="center"/>
        </w:trPr>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kern w:val="0"/>
                <w:sz w:val="28"/>
                <w:szCs w:val="28"/>
                <w:lang w:bidi="ar"/>
              </w:rPr>
            </w:pPr>
            <w:r>
              <w:rPr>
                <w:rStyle w:val="22"/>
                <w:rFonts w:hint="eastAsia"/>
                <w:color w:val="auto"/>
                <w:sz w:val="28"/>
                <w:szCs w:val="28"/>
                <w:lang w:bidi="ar"/>
              </w:rPr>
              <w:t>6</w:t>
            </w:r>
            <w:r>
              <w:rPr>
                <w:rStyle w:val="22"/>
                <w:color w:val="auto"/>
                <w:sz w:val="28"/>
                <w:szCs w:val="28"/>
                <w:lang w:bidi="ar"/>
              </w:rPr>
              <w:t>0</w:t>
            </w:r>
            <w:r>
              <w:rPr>
                <w:rStyle w:val="23"/>
                <w:rFonts w:hint="default"/>
                <w:color w:val="auto"/>
                <w:sz w:val="28"/>
                <w:szCs w:val="28"/>
                <w:lang w:bidi="ar"/>
              </w:rPr>
              <w:t>～</w:t>
            </w:r>
            <w:r>
              <w:rPr>
                <w:rStyle w:val="22"/>
                <w:rFonts w:hint="eastAsia"/>
                <w:color w:val="auto"/>
                <w:sz w:val="28"/>
                <w:szCs w:val="28"/>
                <w:lang w:bidi="ar"/>
              </w:rPr>
              <w:t>8</w:t>
            </w:r>
            <w:r>
              <w:rPr>
                <w:rStyle w:val="22"/>
                <w:color w:val="auto"/>
                <w:sz w:val="28"/>
                <w:szCs w:val="28"/>
                <w:lang w:bidi="ar"/>
              </w:rPr>
              <w:t>0%</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kern w:val="0"/>
                <w:sz w:val="28"/>
                <w:szCs w:val="28"/>
                <w:lang w:bidi="ar"/>
              </w:rPr>
            </w:pPr>
            <w:r>
              <w:rPr>
                <w:rStyle w:val="22"/>
                <w:color w:val="auto"/>
                <w:sz w:val="28"/>
                <w:szCs w:val="28"/>
                <w:lang w:bidi="ar"/>
              </w:rPr>
              <w:t>10</w:t>
            </w:r>
            <w:r>
              <w:rPr>
                <w:rStyle w:val="23"/>
                <w:rFonts w:hint="default"/>
                <w:color w:val="auto"/>
                <w:sz w:val="28"/>
                <w:szCs w:val="28"/>
                <w:lang w:bidi="ar"/>
              </w:rPr>
              <w:t>～</w:t>
            </w:r>
            <w:r>
              <w:rPr>
                <w:rStyle w:val="22"/>
                <w:color w:val="auto"/>
                <w:sz w:val="28"/>
                <w:szCs w:val="28"/>
                <w:lang w:bidi="ar"/>
              </w:rPr>
              <w:t>20%</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 w:hAnsi="仿宋" w:eastAsia="仿宋" w:cs="仿宋"/>
                <w:kern w:val="0"/>
                <w:sz w:val="28"/>
                <w:szCs w:val="28"/>
                <w:lang w:bidi="ar"/>
              </w:rPr>
            </w:pPr>
            <w:r>
              <w:rPr>
                <w:rStyle w:val="22"/>
                <w:color w:val="auto"/>
                <w:sz w:val="28"/>
                <w:szCs w:val="28"/>
                <w:lang w:bidi="ar"/>
              </w:rPr>
              <w:t>10</w:t>
            </w:r>
            <w:r>
              <w:rPr>
                <w:rStyle w:val="24"/>
                <w:color w:val="auto"/>
                <w:sz w:val="28"/>
                <w:szCs w:val="28"/>
                <w:lang w:bidi="ar"/>
              </w:rPr>
              <w:t>～</w:t>
            </w:r>
            <w:r>
              <w:rPr>
                <w:rStyle w:val="22"/>
                <w:rFonts w:hint="eastAsia"/>
                <w:color w:val="auto"/>
                <w:sz w:val="28"/>
                <w:szCs w:val="28"/>
                <w:lang w:bidi="ar"/>
              </w:rPr>
              <w:t>2</w:t>
            </w:r>
            <w:r>
              <w:rPr>
                <w:rStyle w:val="22"/>
                <w:color w:val="auto"/>
                <w:sz w:val="28"/>
                <w:szCs w:val="28"/>
                <w:lang w:bidi="ar"/>
              </w:rPr>
              <w:t>0%</w:t>
            </w:r>
          </w:p>
        </w:tc>
      </w:tr>
    </w:tbl>
    <w:p>
      <w:pPr>
        <w:snapToGrid w:val="0"/>
        <w:spacing w:line="500" w:lineRule="exact"/>
        <w:ind w:firstLine="562" w:firstLineChars="200"/>
        <w:rPr>
          <w:rFonts w:eastAsia="仿宋"/>
          <w:b/>
          <w:bCs/>
          <w:sz w:val="28"/>
          <w:szCs w:val="28"/>
        </w:rPr>
      </w:pPr>
    </w:p>
    <w:p>
      <w:pPr>
        <w:snapToGrid w:val="0"/>
        <w:spacing w:line="520" w:lineRule="exact"/>
        <w:ind w:firstLine="562" w:firstLineChars="200"/>
        <w:rPr>
          <w:rFonts w:eastAsia="仿宋"/>
          <w:b/>
          <w:bCs/>
          <w:sz w:val="28"/>
          <w:szCs w:val="28"/>
        </w:rPr>
      </w:pPr>
      <w:r>
        <w:rPr>
          <w:rFonts w:hint="eastAsia" w:eastAsia="仿宋"/>
          <w:b/>
          <w:bCs/>
          <w:sz w:val="28"/>
          <w:szCs w:val="28"/>
        </w:rPr>
        <w:t>三、学部年终分配方案应在部门范围内听取意见，经学部主任同意后予以公示，报学院备案后实施。</w:t>
      </w:r>
    </w:p>
    <w:p>
      <w:pPr>
        <w:snapToGrid w:val="0"/>
        <w:spacing w:line="520" w:lineRule="exact"/>
        <w:ind w:firstLine="562" w:firstLineChars="200"/>
        <w:rPr>
          <w:rFonts w:eastAsia="仿宋"/>
          <w:b/>
          <w:bCs/>
          <w:sz w:val="28"/>
          <w:szCs w:val="28"/>
        </w:rPr>
      </w:pPr>
    </w:p>
    <w:p>
      <w:pPr>
        <w:ind w:firstLine="560" w:firstLineChars="200"/>
        <w:rPr>
          <w:rFonts w:eastAsia="仿宋"/>
          <w:sz w:val="28"/>
          <w:szCs w:val="28"/>
        </w:rPr>
      </w:pPr>
      <w:r>
        <w:rPr>
          <w:rFonts w:eastAsia="仿宋"/>
          <w:sz w:val="28"/>
          <w:szCs w:val="28"/>
        </w:rPr>
        <w:br w:type="page"/>
      </w:r>
    </w:p>
    <w:p>
      <w:pPr>
        <w:snapToGrid w:val="0"/>
        <w:spacing w:line="480" w:lineRule="exact"/>
        <w:jc w:val="left"/>
        <w:rPr>
          <w:rFonts w:eastAsia="仿宋"/>
          <w:sz w:val="28"/>
          <w:szCs w:val="28"/>
        </w:rPr>
      </w:pPr>
      <w:r>
        <w:rPr>
          <w:rFonts w:hint="eastAsia" w:eastAsia="仿宋"/>
          <w:sz w:val="28"/>
          <w:szCs w:val="28"/>
        </w:rPr>
        <w:t>附件2：</w:t>
      </w:r>
    </w:p>
    <w:p>
      <w:pPr>
        <w:snapToGrid w:val="0"/>
        <w:spacing w:line="500" w:lineRule="exact"/>
        <w:jc w:val="center"/>
        <w:rPr>
          <w:rFonts w:eastAsia="仿宋"/>
          <w:sz w:val="28"/>
          <w:szCs w:val="28"/>
        </w:rPr>
      </w:pPr>
      <w:r>
        <w:rPr>
          <w:rFonts w:hint="eastAsia"/>
          <w:b/>
          <w:sz w:val="32"/>
          <w:szCs w:val="32"/>
        </w:rPr>
        <w:t>岗位奖励津贴扣发办法</w:t>
      </w:r>
    </w:p>
    <w:p>
      <w:pPr>
        <w:snapToGrid w:val="0"/>
        <w:spacing w:line="600" w:lineRule="exact"/>
        <w:ind w:firstLine="560" w:firstLineChars="200"/>
        <w:rPr>
          <w:rFonts w:eastAsia="仿宋"/>
          <w:sz w:val="28"/>
          <w:szCs w:val="28"/>
        </w:rPr>
      </w:pPr>
      <w:r>
        <w:rPr>
          <w:rFonts w:eastAsia="仿宋"/>
          <w:sz w:val="28"/>
          <w:szCs w:val="28"/>
        </w:rPr>
        <w:t>根据《南通大学绩效工资扣发管理若干规定》，结合单位实际，对不能在岗履行职责或不能完成本岗位工作任务的人员，对岗位奖励津贴的扣发规定如下：</w:t>
      </w:r>
    </w:p>
    <w:p>
      <w:pPr>
        <w:snapToGrid w:val="0"/>
        <w:spacing w:line="600" w:lineRule="exact"/>
        <w:ind w:firstLine="560" w:firstLineChars="200"/>
        <w:rPr>
          <w:rFonts w:eastAsia="仿宋"/>
          <w:sz w:val="28"/>
          <w:szCs w:val="28"/>
        </w:rPr>
      </w:pPr>
      <w:r>
        <w:rPr>
          <w:rFonts w:hint="eastAsia" w:eastAsia="仿宋"/>
          <w:sz w:val="28"/>
          <w:szCs w:val="28"/>
        </w:rPr>
        <w:t>1.</w:t>
      </w:r>
      <w:r>
        <w:rPr>
          <w:rFonts w:eastAsia="仿宋"/>
          <w:sz w:val="28"/>
          <w:szCs w:val="28"/>
        </w:rPr>
        <w:t>关于病（事）假。按照全年200天（40周，每周5天），对个人累计病（事）假按天数扣除。长病假人员的原则上不予发放。重症病人（癌症，中风、瘫痪及其它重症导致生活不能自理者）酌情予以照顾：由学校按其本人级档岗位奖励津贴标准额的30%发放生活补贴，平时发20%，年终发10%。</w:t>
      </w:r>
    </w:p>
    <w:p>
      <w:pPr>
        <w:snapToGrid w:val="0"/>
        <w:spacing w:line="600" w:lineRule="exact"/>
        <w:ind w:firstLine="560" w:firstLineChars="200"/>
        <w:rPr>
          <w:rFonts w:eastAsia="仿宋"/>
          <w:sz w:val="28"/>
          <w:szCs w:val="28"/>
        </w:rPr>
      </w:pPr>
      <w:r>
        <w:rPr>
          <w:rFonts w:hint="eastAsia" w:eastAsia="仿宋"/>
          <w:sz w:val="28"/>
          <w:szCs w:val="28"/>
        </w:rPr>
        <w:t>2.</w:t>
      </w:r>
      <w:r>
        <w:rPr>
          <w:rFonts w:eastAsia="仿宋"/>
          <w:sz w:val="28"/>
          <w:szCs w:val="28"/>
        </w:rPr>
        <w:t>每旷工1天扣发年度岗位奖励津贴5%，全年累计旷工15天的，扣发全年岗位奖励津贴。</w:t>
      </w:r>
    </w:p>
    <w:p>
      <w:pPr>
        <w:snapToGrid w:val="0"/>
        <w:spacing w:line="600" w:lineRule="exact"/>
        <w:ind w:firstLine="560" w:firstLineChars="200"/>
        <w:rPr>
          <w:rFonts w:eastAsia="仿宋"/>
          <w:sz w:val="28"/>
          <w:szCs w:val="28"/>
        </w:rPr>
      </w:pPr>
      <w:r>
        <w:rPr>
          <w:rFonts w:hint="eastAsia" w:eastAsia="仿宋"/>
          <w:sz w:val="28"/>
          <w:szCs w:val="28"/>
        </w:rPr>
        <w:t>3.</w:t>
      </w:r>
      <w:r>
        <w:rPr>
          <w:rFonts w:eastAsia="仿宋"/>
          <w:sz w:val="28"/>
          <w:szCs w:val="28"/>
        </w:rPr>
        <w:t>受各类批评、处分人员按年度标准扣发相应的岗位奖励津贴：受通报批评的人员，扣发5%；受行政警告、党内警告处分的人员，扣发20%；受行政记过、党内严重警告处分的人员，扣发50%；降低岗位等级或者撤职、撤销党内职务及其以上的人员，扣发80%，次年按新岗位确定岗位奖励津贴。以上人员受批评和处分的等级由相关职能部门认定。</w:t>
      </w:r>
    </w:p>
    <w:p>
      <w:pPr>
        <w:snapToGrid w:val="0"/>
        <w:spacing w:line="600" w:lineRule="exact"/>
        <w:ind w:firstLine="560" w:firstLineChars="200"/>
        <w:rPr>
          <w:rFonts w:eastAsia="仿宋"/>
          <w:sz w:val="28"/>
          <w:szCs w:val="28"/>
        </w:rPr>
      </w:pPr>
      <w:r>
        <w:rPr>
          <w:rFonts w:hint="eastAsia" w:eastAsia="仿宋"/>
          <w:sz w:val="28"/>
          <w:szCs w:val="28"/>
        </w:rPr>
        <w:t>4.</w:t>
      </w:r>
      <w:r>
        <w:rPr>
          <w:rFonts w:eastAsia="仿宋"/>
          <w:sz w:val="28"/>
          <w:szCs w:val="28"/>
        </w:rPr>
        <w:t>被公安机关拘留者按天数参照旷工标准执行。</w:t>
      </w:r>
    </w:p>
    <w:p>
      <w:pPr>
        <w:snapToGrid w:val="0"/>
        <w:spacing w:line="600" w:lineRule="exact"/>
        <w:ind w:firstLine="560" w:firstLineChars="200"/>
        <w:rPr>
          <w:rFonts w:eastAsia="仿宋"/>
          <w:sz w:val="28"/>
          <w:szCs w:val="28"/>
        </w:rPr>
      </w:pPr>
      <w:r>
        <w:rPr>
          <w:rFonts w:hint="eastAsia" w:eastAsia="仿宋"/>
          <w:sz w:val="28"/>
          <w:szCs w:val="28"/>
        </w:rPr>
        <w:t>5.</w:t>
      </w:r>
      <w:r>
        <w:rPr>
          <w:rFonts w:eastAsia="仿宋"/>
          <w:sz w:val="28"/>
          <w:szCs w:val="28"/>
        </w:rPr>
        <w:t>III、II、I级教学事故责任人，分别扣发全年岗位奖励津贴的10%、20%、50%。若同时受到处分且处分扣发标准高于以上标准的，按处分标准扣发。</w:t>
      </w:r>
    </w:p>
    <w:p>
      <w:pPr>
        <w:snapToGrid w:val="0"/>
        <w:spacing w:line="600" w:lineRule="exact"/>
        <w:ind w:firstLine="560" w:firstLineChars="200"/>
        <w:rPr>
          <w:rFonts w:eastAsia="仿宋"/>
          <w:sz w:val="28"/>
          <w:szCs w:val="28"/>
        </w:rPr>
      </w:pPr>
      <w:r>
        <w:rPr>
          <w:rFonts w:hint="eastAsia" w:eastAsia="仿宋"/>
          <w:sz w:val="28"/>
          <w:szCs w:val="28"/>
        </w:rPr>
        <w:t>6.</w:t>
      </w:r>
      <w:r>
        <w:rPr>
          <w:rFonts w:eastAsia="仿宋"/>
          <w:sz w:val="28"/>
          <w:szCs w:val="28"/>
        </w:rPr>
        <w:t>拒绝接受工作安排者，停发其岗位奖励津贴至接受工作安排之月。</w:t>
      </w:r>
    </w:p>
    <w:p>
      <w:pPr>
        <w:snapToGrid w:val="0"/>
        <w:spacing w:line="480" w:lineRule="exact"/>
        <w:jc w:val="left"/>
        <w:rPr>
          <w:rFonts w:eastAsia="仿宋"/>
          <w:sz w:val="28"/>
          <w:szCs w:val="28"/>
        </w:rPr>
      </w:pPr>
    </w:p>
    <w:p>
      <w:pPr>
        <w:rPr>
          <w:rFonts w:eastAsia="仿宋"/>
          <w:sz w:val="28"/>
          <w:szCs w:val="28"/>
        </w:rPr>
      </w:pPr>
      <w:r>
        <w:rPr>
          <w:rFonts w:eastAsia="仿宋"/>
          <w:sz w:val="28"/>
          <w:szCs w:val="28"/>
        </w:rPr>
        <w:br w:type="page"/>
      </w:r>
    </w:p>
    <w:p>
      <w:pPr>
        <w:snapToGrid w:val="0"/>
        <w:spacing w:line="480" w:lineRule="exact"/>
        <w:jc w:val="left"/>
        <w:rPr>
          <w:rFonts w:eastAsia="仿宋"/>
          <w:sz w:val="28"/>
          <w:szCs w:val="28"/>
        </w:rPr>
      </w:pPr>
      <w:r>
        <w:rPr>
          <w:rFonts w:eastAsia="仿宋"/>
          <w:sz w:val="28"/>
          <w:szCs w:val="28"/>
        </w:rPr>
        <w:t>附件</w:t>
      </w:r>
      <w:r>
        <w:rPr>
          <w:rFonts w:hint="eastAsia" w:eastAsia="仿宋"/>
          <w:sz w:val="28"/>
          <w:szCs w:val="28"/>
        </w:rPr>
        <w:t>3</w:t>
      </w:r>
    </w:p>
    <w:p>
      <w:pPr>
        <w:widowControl/>
        <w:snapToGrid w:val="0"/>
        <w:spacing w:line="480" w:lineRule="exact"/>
        <w:jc w:val="center"/>
        <w:rPr>
          <w:b/>
          <w:sz w:val="32"/>
          <w:szCs w:val="32"/>
        </w:rPr>
      </w:pPr>
      <w:r>
        <w:rPr>
          <w:b/>
          <w:sz w:val="32"/>
          <w:szCs w:val="32"/>
        </w:rPr>
        <w:t>超课时奖励津贴</w:t>
      </w:r>
      <w:r>
        <w:rPr>
          <w:rFonts w:hint="eastAsia"/>
          <w:b/>
          <w:sz w:val="32"/>
          <w:szCs w:val="32"/>
        </w:rPr>
        <w:t>经费划拨办法</w:t>
      </w:r>
    </w:p>
    <w:p>
      <w:pPr>
        <w:snapToGrid w:val="0"/>
        <w:spacing w:line="480" w:lineRule="exact"/>
        <w:jc w:val="center"/>
        <w:rPr>
          <w:rFonts w:eastAsia="仿宋"/>
          <w:sz w:val="28"/>
          <w:szCs w:val="28"/>
        </w:rPr>
      </w:pPr>
    </w:p>
    <w:p>
      <w:pPr>
        <w:snapToGrid w:val="0"/>
        <w:spacing w:line="560" w:lineRule="exact"/>
        <w:ind w:firstLine="560" w:firstLineChars="200"/>
        <w:rPr>
          <w:rFonts w:eastAsia="仿宋"/>
          <w:sz w:val="28"/>
          <w:szCs w:val="28"/>
        </w:rPr>
      </w:pPr>
      <w:r>
        <w:rPr>
          <w:rFonts w:eastAsia="仿宋"/>
          <w:sz w:val="28"/>
          <w:szCs w:val="28"/>
        </w:rPr>
        <w:t>为使学院奖励性绩效工作趋于科学化、合理化，发挥分配制度的导向和激励作用，向优秀拔尖人才、业绩突出和关键岗位的工作人员倾斜，体现“多劳多得”的同时，又合理控制不同类别人员之间的收入差距，特制定本办法。</w:t>
      </w:r>
    </w:p>
    <w:p>
      <w:pPr>
        <w:snapToGrid w:val="0"/>
        <w:spacing w:line="560" w:lineRule="exact"/>
        <w:ind w:firstLine="560" w:firstLineChars="200"/>
        <w:rPr>
          <w:rFonts w:eastAsia="仿宋"/>
          <w:sz w:val="28"/>
          <w:szCs w:val="28"/>
        </w:rPr>
      </w:pPr>
      <w:r>
        <w:rPr>
          <w:rFonts w:eastAsia="仿宋"/>
          <w:sz w:val="28"/>
          <w:szCs w:val="28"/>
        </w:rPr>
        <w:t>一、本办法中的教学工作量计算按照《南通大学本科教学工作量计算办法（试行）》(通大教〔2018〕48号) 执行。</w:t>
      </w:r>
    </w:p>
    <w:p>
      <w:pPr>
        <w:snapToGrid w:val="0"/>
        <w:spacing w:line="560" w:lineRule="exact"/>
        <w:ind w:firstLine="560" w:firstLineChars="200"/>
        <w:rPr>
          <w:rFonts w:eastAsia="仿宋"/>
          <w:sz w:val="28"/>
          <w:szCs w:val="28"/>
        </w:rPr>
      </w:pPr>
      <w:r>
        <w:rPr>
          <w:rFonts w:eastAsia="仿宋"/>
          <w:sz w:val="28"/>
          <w:szCs w:val="28"/>
        </w:rPr>
        <w:t>二、计发办法</w:t>
      </w:r>
    </w:p>
    <w:p>
      <w:pPr>
        <w:snapToGrid w:val="0"/>
        <w:spacing w:line="560" w:lineRule="exact"/>
        <w:ind w:firstLine="560" w:firstLineChars="200"/>
        <w:rPr>
          <w:rFonts w:eastAsia="仿宋"/>
          <w:sz w:val="28"/>
          <w:szCs w:val="28"/>
        </w:rPr>
      </w:pPr>
      <w:r>
        <w:rPr>
          <w:rFonts w:eastAsia="仿宋"/>
          <w:sz w:val="28"/>
          <w:szCs w:val="28"/>
        </w:rPr>
        <w:t>（一）学部教学超课时奖励</w:t>
      </w:r>
    </w:p>
    <w:p>
      <w:pPr>
        <w:snapToGrid w:val="0"/>
        <w:spacing w:line="560" w:lineRule="exact"/>
        <w:ind w:firstLine="560" w:firstLineChars="200"/>
        <w:rPr>
          <w:rFonts w:eastAsia="仿宋"/>
          <w:sz w:val="28"/>
          <w:szCs w:val="28"/>
        </w:rPr>
      </w:pPr>
      <w:r>
        <w:rPr>
          <w:rFonts w:eastAsia="仿宋"/>
          <w:sz w:val="28"/>
          <w:szCs w:val="28"/>
        </w:rPr>
        <w:t>1.学院按照当年课时工作量奖励津贴标准和</w:t>
      </w:r>
      <w:r>
        <w:rPr>
          <w:rFonts w:eastAsia="仿宋"/>
          <w:kern w:val="0"/>
          <w:sz w:val="28"/>
          <w:szCs w:val="28"/>
          <w:lang w:bidi="ar"/>
        </w:rPr>
        <w:t>计发绩效实际应上课教师数</w:t>
      </w:r>
      <w:r>
        <w:rPr>
          <w:rFonts w:eastAsia="仿宋"/>
          <w:sz w:val="28"/>
          <w:szCs w:val="28"/>
        </w:rPr>
        <w:t>，根据各学部当年度完成的教学工作总量和应完成工作总量，对超过的部分予以计发超课时奖励津贴。学院根据当年超课时实际情况和可分配津贴总额度对标准进行适当调整，每标准课时分值计为</w:t>
      </w:r>
      <w:r>
        <w:rPr>
          <w:rFonts w:hint="eastAsia" w:eastAsia="仿宋"/>
          <w:sz w:val="28"/>
          <w:szCs w:val="28"/>
        </w:rPr>
        <w:t>30</w:t>
      </w:r>
      <w:r>
        <w:rPr>
          <w:rFonts w:eastAsia="仿宋"/>
          <w:sz w:val="28"/>
          <w:szCs w:val="28"/>
        </w:rPr>
        <w:t>分。</w:t>
      </w:r>
    </w:p>
    <w:p>
      <w:pPr>
        <w:snapToGrid w:val="0"/>
        <w:spacing w:line="560" w:lineRule="exact"/>
        <w:ind w:firstLine="560" w:firstLineChars="200"/>
        <w:rPr>
          <w:rFonts w:eastAsia="仿宋"/>
          <w:sz w:val="28"/>
          <w:szCs w:val="28"/>
        </w:rPr>
      </w:pPr>
      <w:r>
        <w:rPr>
          <w:rFonts w:eastAsia="仿宋"/>
          <w:sz w:val="28"/>
          <w:szCs w:val="28"/>
        </w:rPr>
        <w:t>2.教学超课时奖励由学院核定，由学部根据自身实际确定本学部各专业教师的教学超工作量标准和课时费计发标准，进行二次分配。</w:t>
      </w:r>
    </w:p>
    <w:p>
      <w:pPr>
        <w:snapToGrid w:val="0"/>
        <w:spacing w:line="560" w:lineRule="exact"/>
        <w:ind w:firstLine="560" w:firstLineChars="200"/>
        <w:rPr>
          <w:rFonts w:eastAsia="仿宋"/>
          <w:sz w:val="28"/>
          <w:szCs w:val="28"/>
        </w:rPr>
      </w:pPr>
      <w:r>
        <w:rPr>
          <w:rFonts w:hint="eastAsia" w:eastAsia="仿宋"/>
          <w:sz w:val="28"/>
          <w:szCs w:val="28"/>
        </w:rPr>
        <w:t>3.</w:t>
      </w:r>
      <w:r>
        <w:rPr>
          <w:rFonts w:eastAsia="仿宋"/>
          <w:sz w:val="28"/>
          <w:szCs w:val="28"/>
        </w:rPr>
        <w:t>受聘学院</w:t>
      </w:r>
      <w:r>
        <w:rPr>
          <w:rFonts w:hint="eastAsia" w:eastAsia="仿宋"/>
          <w:sz w:val="28"/>
          <w:szCs w:val="28"/>
        </w:rPr>
        <w:t>行政</w:t>
      </w:r>
      <w:r>
        <w:rPr>
          <w:rFonts w:eastAsia="仿宋"/>
          <w:sz w:val="28"/>
          <w:szCs w:val="28"/>
        </w:rPr>
        <w:t>管理岗位</w:t>
      </w:r>
      <w:r>
        <w:rPr>
          <w:rFonts w:hint="eastAsia" w:eastAsia="仿宋"/>
          <w:sz w:val="28"/>
          <w:szCs w:val="28"/>
        </w:rPr>
        <w:t>的</w:t>
      </w:r>
      <w:r>
        <w:rPr>
          <w:rFonts w:eastAsia="仿宋"/>
          <w:sz w:val="28"/>
          <w:szCs w:val="28"/>
        </w:rPr>
        <w:t>专业教师</w:t>
      </w:r>
      <w:r>
        <w:rPr>
          <w:rFonts w:hint="eastAsia" w:eastAsia="仿宋"/>
          <w:sz w:val="28"/>
          <w:szCs w:val="28"/>
        </w:rPr>
        <w:t>，或</w:t>
      </w:r>
      <w:r>
        <w:rPr>
          <w:rFonts w:eastAsia="仿宋"/>
          <w:sz w:val="28"/>
          <w:szCs w:val="28"/>
        </w:rPr>
        <w:t>学校批准的上级单位借调、学校派出挂职锻炼</w:t>
      </w:r>
      <w:r>
        <w:rPr>
          <w:rFonts w:hint="eastAsia" w:eastAsia="仿宋"/>
          <w:sz w:val="28"/>
          <w:szCs w:val="28"/>
        </w:rPr>
        <w:t>人员，学院补贴的教学工作量定额计入学部课时总量。</w:t>
      </w:r>
    </w:p>
    <w:p>
      <w:pPr>
        <w:snapToGrid w:val="0"/>
        <w:spacing w:line="560" w:lineRule="exact"/>
        <w:ind w:firstLine="560" w:firstLineChars="200"/>
        <w:rPr>
          <w:rFonts w:eastAsia="仿宋"/>
          <w:sz w:val="28"/>
          <w:szCs w:val="28"/>
        </w:rPr>
      </w:pPr>
      <w:r>
        <w:rPr>
          <w:rFonts w:eastAsia="仿宋"/>
          <w:sz w:val="28"/>
          <w:szCs w:val="28"/>
        </w:rPr>
        <w:t>（二）辅导员超课时奖励</w:t>
      </w:r>
    </w:p>
    <w:p>
      <w:pPr>
        <w:snapToGrid w:val="0"/>
        <w:spacing w:line="560" w:lineRule="exact"/>
        <w:ind w:firstLine="560" w:firstLineChars="200"/>
        <w:rPr>
          <w:rFonts w:eastAsia="仿宋"/>
          <w:sz w:val="28"/>
          <w:szCs w:val="28"/>
        </w:rPr>
      </w:pPr>
      <w:r>
        <w:rPr>
          <w:rFonts w:eastAsia="仿宋"/>
          <w:sz w:val="28"/>
          <w:szCs w:val="28"/>
        </w:rPr>
        <w:t>1.计发范围：在杏林学院</w:t>
      </w:r>
      <w:r>
        <w:rPr>
          <w:rFonts w:hint="eastAsia" w:eastAsia="仿宋"/>
          <w:sz w:val="28"/>
          <w:szCs w:val="28"/>
        </w:rPr>
        <w:t>第二轮</w:t>
      </w:r>
      <w:r>
        <w:rPr>
          <w:rFonts w:eastAsia="仿宋"/>
          <w:sz w:val="28"/>
          <w:szCs w:val="28"/>
        </w:rPr>
        <w:t>聘期岗位绩效定档工作中，聘任在专业技术岗位并进行考核的辅导员。</w:t>
      </w:r>
    </w:p>
    <w:p>
      <w:pPr>
        <w:snapToGrid w:val="0"/>
        <w:spacing w:line="560" w:lineRule="exact"/>
        <w:ind w:firstLine="560" w:firstLineChars="200"/>
        <w:rPr>
          <w:rFonts w:eastAsia="仿宋"/>
          <w:sz w:val="28"/>
          <w:szCs w:val="28"/>
        </w:rPr>
      </w:pPr>
      <w:r>
        <w:rPr>
          <w:rFonts w:eastAsia="仿宋"/>
          <w:sz w:val="28"/>
          <w:szCs w:val="28"/>
        </w:rPr>
        <w:t>2.工作量标准</w:t>
      </w:r>
    </w:p>
    <w:p>
      <w:pPr>
        <w:snapToGrid w:val="0"/>
        <w:spacing w:line="560" w:lineRule="exact"/>
        <w:ind w:firstLine="560" w:firstLineChars="200"/>
        <w:rPr>
          <w:rFonts w:eastAsia="仿宋"/>
          <w:sz w:val="28"/>
          <w:szCs w:val="28"/>
        </w:rPr>
      </w:pPr>
      <w:r>
        <w:rPr>
          <w:rFonts w:eastAsia="仿宋"/>
          <w:sz w:val="28"/>
          <w:szCs w:val="28"/>
        </w:rPr>
        <w:t>学院根据心理健康教育和就创业指导等二门课程教学的总课时数，结合一线辅导员编制数，将其平均标准作为中级职称（讲师）的教学工作量标准，即：</w:t>
      </w:r>
    </w:p>
    <w:p>
      <w:pPr>
        <w:snapToGrid w:val="0"/>
        <w:spacing w:line="560" w:lineRule="exact"/>
        <w:ind w:firstLine="560" w:firstLineChars="200"/>
        <w:rPr>
          <w:rFonts w:eastAsia="仿宋"/>
          <w:sz w:val="28"/>
          <w:szCs w:val="28"/>
        </w:rPr>
      </w:pPr>
      <w:r>
        <w:rPr>
          <w:rFonts w:eastAsia="仿宋"/>
          <w:sz w:val="28"/>
          <w:szCs w:val="28"/>
        </w:rPr>
        <w:t>教学工作量标准（讲师）=思政总课时数÷应有辅导员总数</w:t>
      </w:r>
    </w:p>
    <w:p>
      <w:pPr>
        <w:snapToGrid w:val="0"/>
        <w:spacing w:line="560" w:lineRule="exact"/>
        <w:ind w:firstLine="560" w:firstLineChars="200"/>
        <w:rPr>
          <w:rFonts w:eastAsia="仿宋"/>
          <w:sz w:val="28"/>
          <w:szCs w:val="28"/>
        </w:rPr>
      </w:pPr>
      <w:r>
        <w:rPr>
          <w:rFonts w:eastAsia="仿宋"/>
          <w:sz w:val="28"/>
          <w:szCs w:val="28"/>
        </w:rPr>
        <w:t>以讲师的教学工作量作为标准，其85%作为助教的教学工作量标准，其115%作为副教授教学工作量标准，其130%作为教授教学工作量标准。</w:t>
      </w:r>
    </w:p>
    <w:p>
      <w:pPr>
        <w:snapToGrid w:val="0"/>
        <w:spacing w:line="560" w:lineRule="exact"/>
        <w:ind w:firstLine="560" w:firstLineChars="200"/>
        <w:rPr>
          <w:rFonts w:eastAsia="仿宋"/>
          <w:sz w:val="28"/>
          <w:szCs w:val="28"/>
        </w:rPr>
      </w:pPr>
      <w:r>
        <w:rPr>
          <w:rFonts w:eastAsia="仿宋"/>
          <w:sz w:val="28"/>
          <w:szCs w:val="28"/>
        </w:rPr>
        <w:t>3.计发方式：标准分值按照初级、中级职称20分/标准课时，高级职称30分/标准课时。对超过工作量标准100%的部分计发超课时津贴。100%-120%的部分超课时津贴全额计发；120%-150%的部分减半计发；超过标准150%以上的部分不予计发。</w:t>
      </w:r>
    </w:p>
    <w:p>
      <w:pPr>
        <w:snapToGrid w:val="0"/>
        <w:spacing w:line="560" w:lineRule="exact"/>
        <w:ind w:firstLine="560" w:firstLineChars="200"/>
        <w:rPr>
          <w:rFonts w:eastAsia="仿宋"/>
          <w:sz w:val="28"/>
          <w:szCs w:val="28"/>
        </w:rPr>
      </w:pPr>
      <w:r>
        <w:rPr>
          <w:rFonts w:eastAsia="仿宋"/>
          <w:sz w:val="28"/>
          <w:szCs w:val="28"/>
        </w:rPr>
        <w:t>（三）</w:t>
      </w:r>
      <w:r>
        <w:rPr>
          <w:rFonts w:hint="eastAsia" w:eastAsia="仿宋"/>
          <w:sz w:val="28"/>
          <w:szCs w:val="28"/>
        </w:rPr>
        <w:t>党政管理岗</w:t>
      </w:r>
      <w:r>
        <w:rPr>
          <w:rFonts w:eastAsia="仿宋"/>
          <w:sz w:val="28"/>
          <w:szCs w:val="28"/>
        </w:rPr>
        <w:t>的课时奖励</w:t>
      </w:r>
    </w:p>
    <w:p>
      <w:pPr>
        <w:snapToGrid w:val="0"/>
        <w:spacing w:line="560" w:lineRule="exact"/>
        <w:ind w:firstLine="560" w:firstLineChars="200"/>
        <w:rPr>
          <w:rFonts w:eastAsia="仿宋"/>
          <w:sz w:val="28"/>
          <w:szCs w:val="28"/>
        </w:rPr>
      </w:pPr>
      <w:r>
        <w:rPr>
          <w:rFonts w:hint="eastAsia" w:eastAsia="仿宋"/>
          <w:sz w:val="28"/>
          <w:szCs w:val="28"/>
        </w:rPr>
        <w:t>党政管理岗</w:t>
      </w:r>
      <w:r>
        <w:rPr>
          <w:rFonts w:eastAsia="仿宋"/>
          <w:sz w:val="28"/>
          <w:szCs w:val="28"/>
        </w:rPr>
        <w:t>按照其职称级别，对照同级辅导员岗的教学工作量和计发标准，</w:t>
      </w:r>
      <w:r>
        <w:rPr>
          <w:rFonts w:hint="eastAsia" w:eastAsia="仿宋"/>
          <w:sz w:val="28"/>
          <w:szCs w:val="28"/>
        </w:rPr>
        <w:t>工作量完成在标准定额</w:t>
      </w:r>
      <w:r>
        <w:rPr>
          <w:rFonts w:eastAsia="仿宋"/>
          <w:sz w:val="28"/>
          <w:szCs w:val="28"/>
        </w:rPr>
        <w:t>20%以内的部分全额计发，20％～50%的部分减半计发，超过标准50%以上的部分不予计发。</w:t>
      </w:r>
    </w:p>
    <w:p>
      <w:pPr>
        <w:snapToGrid w:val="0"/>
        <w:spacing w:line="560" w:lineRule="exact"/>
        <w:ind w:firstLine="560" w:firstLineChars="200"/>
        <w:rPr>
          <w:rFonts w:eastAsia="仿宋"/>
          <w:sz w:val="28"/>
          <w:szCs w:val="28"/>
        </w:rPr>
      </w:pPr>
      <w:r>
        <w:rPr>
          <w:rFonts w:eastAsia="仿宋"/>
          <w:sz w:val="28"/>
          <w:szCs w:val="28"/>
        </w:rPr>
        <w:t>三、其他说明</w:t>
      </w:r>
    </w:p>
    <w:p>
      <w:pPr>
        <w:snapToGrid w:val="0"/>
        <w:spacing w:line="560" w:lineRule="exact"/>
        <w:ind w:firstLine="560" w:firstLineChars="200"/>
        <w:rPr>
          <w:rFonts w:eastAsia="仿宋"/>
          <w:sz w:val="28"/>
          <w:szCs w:val="28"/>
        </w:rPr>
      </w:pPr>
      <w:r>
        <w:rPr>
          <w:rFonts w:eastAsia="仿宋"/>
          <w:sz w:val="28"/>
          <w:szCs w:val="28"/>
        </w:rPr>
        <w:t>1.岗位变化、职称晋升等发生变动人员，其教学工作量标准按学期进行分段计算。南通大学下半年选派来院工作的教师，其下半年教学工作量计入学部教学工作总量。</w:t>
      </w:r>
    </w:p>
    <w:p>
      <w:pPr>
        <w:snapToGrid w:val="0"/>
        <w:spacing w:line="560" w:lineRule="exact"/>
        <w:ind w:firstLine="560" w:firstLineChars="200"/>
        <w:rPr>
          <w:rFonts w:eastAsia="仿宋"/>
          <w:sz w:val="28"/>
          <w:szCs w:val="28"/>
        </w:rPr>
      </w:pPr>
      <w:r>
        <w:rPr>
          <w:rFonts w:eastAsia="仿宋"/>
          <w:sz w:val="28"/>
          <w:szCs w:val="28"/>
        </w:rPr>
        <w:t>2.原则上承担非杏林学院的教学工作（以学院教务处认定为准），原则上不予计入课时总量。</w:t>
      </w:r>
    </w:p>
    <w:p>
      <w:pPr>
        <w:snapToGrid w:val="0"/>
        <w:spacing w:line="560" w:lineRule="exact"/>
        <w:ind w:firstLine="560" w:firstLineChars="200"/>
        <w:rPr>
          <w:rFonts w:eastAsia="仿宋"/>
          <w:sz w:val="28"/>
          <w:szCs w:val="28"/>
        </w:rPr>
      </w:pPr>
      <w:r>
        <w:rPr>
          <w:rFonts w:eastAsia="仿宋"/>
          <w:sz w:val="28"/>
          <w:szCs w:val="28"/>
        </w:rPr>
        <w:t>3.专业教师岗的超课时津贴均</w:t>
      </w:r>
      <w:r>
        <w:rPr>
          <w:rFonts w:hint="eastAsia" w:eastAsia="仿宋"/>
          <w:sz w:val="28"/>
          <w:szCs w:val="28"/>
          <w:shd w:val="clear" w:color="auto" w:fill="FFFFFF"/>
        </w:rPr>
        <w:t>按分值</w:t>
      </w:r>
      <w:r>
        <w:rPr>
          <w:rFonts w:hint="eastAsia" w:eastAsia="仿宋"/>
          <w:sz w:val="28"/>
          <w:szCs w:val="28"/>
        </w:rPr>
        <w:t>核拨至</w:t>
      </w:r>
      <w:r>
        <w:rPr>
          <w:rFonts w:eastAsia="仿宋"/>
          <w:sz w:val="28"/>
          <w:szCs w:val="28"/>
        </w:rPr>
        <w:t>所在学部，纳入</w:t>
      </w:r>
      <w:r>
        <w:rPr>
          <w:rFonts w:hint="eastAsia" w:eastAsia="仿宋"/>
          <w:sz w:val="28"/>
          <w:szCs w:val="28"/>
        </w:rPr>
        <w:t>学部</w:t>
      </w:r>
      <w:r>
        <w:rPr>
          <w:rFonts w:hint="eastAsia" w:eastAsia="仿宋"/>
          <w:sz w:val="28"/>
          <w:szCs w:val="28"/>
          <w:shd w:val="clear" w:color="auto" w:fill="FFFFFF"/>
        </w:rPr>
        <w:t>教学</w:t>
      </w:r>
      <w:r>
        <w:rPr>
          <w:rFonts w:eastAsia="仿宋"/>
          <w:sz w:val="28"/>
          <w:szCs w:val="28"/>
          <w:shd w:val="clear" w:color="auto" w:fill="FFFFFF"/>
        </w:rPr>
        <w:t>工作量业绩</w:t>
      </w:r>
      <w:r>
        <w:rPr>
          <w:rFonts w:hint="eastAsia" w:eastAsia="仿宋"/>
          <w:sz w:val="28"/>
          <w:szCs w:val="28"/>
          <w:shd w:val="clear" w:color="auto" w:fill="FFFFFF"/>
        </w:rPr>
        <w:t>津贴经费</w:t>
      </w:r>
      <w:r>
        <w:rPr>
          <w:rFonts w:eastAsia="仿宋"/>
          <w:sz w:val="28"/>
          <w:szCs w:val="28"/>
        </w:rPr>
        <w:t>二次分配。其他人员则由学院核算后直接计发至个人。</w:t>
      </w:r>
    </w:p>
    <w:p>
      <w:pPr>
        <w:snapToGrid w:val="0"/>
        <w:spacing w:line="560" w:lineRule="exact"/>
        <w:ind w:firstLine="560" w:firstLineChars="200"/>
        <w:rPr>
          <w:rFonts w:eastAsia="仿宋"/>
          <w:sz w:val="28"/>
          <w:szCs w:val="28"/>
        </w:rPr>
      </w:pPr>
      <w:r>
        <w:rPr>
          <w:rFonts w:eastAsia="仿宋"/>
          <w:sz w:val="28"/>
          <w:szCs w:val="28"/>
        </w:rPr>
        <w:t>4.对参照学校做法已计发教学酬金的部分课程，不再计入个人工作量。</w:t>
      </w:r>
    </w:p>
    <w:p>
      <w:pPr>
        <w:snapToGrid w:val="0"/>
        <w:spacing w:line="560" w:lineRule="exact"/>
        <w:ind w:firstLine="560" w:firstLineChars="200"/>
        <w:rPr>
          <w:rFonts w:eastAsia="仿宋"/>
          <w:sz w:val="28"/>
          <w:szCs w:val="28"/>
        </w:rPr>
      </w:pPr>
      <w:r>
        <w:rPr>
          <w:rFonts w:eastAsia="仿宋"/>
          <w:sz w:val="28"/>
          <w:szCs w:val="28"/>
        </w:rPr>
        <w:t>四、本办法由学院办公室进行解释。</w:t>
      </w:r>
    </w:p>
    <w:p>
      <w:pPr>
        <w:spacing w:line="480" w:lineRule="exact"/>
        <w:rPr>
          <w:rFonts w:eastAsia="仿宋"/>
          <w:sz w:val="28"/>
          <w:szCs w:val="28"/>
        </w:rPr>
      </w:pPr>
      <w:r>
        <w:rPr>
          <w:rFonts w:eastAsia="仿宋"/>
          <w:sz w:val="28"/>
          <w:szCs w:val="28"/>
        </w:rPr>
        <w:br w:type="page"/>
      </w:r>
    </w:p>
    <w:p>
      <w:pPr>
        <w:snapToGrid w:val="0"/>
        <w:spacing w:line="480" w:lineRule="exact"/>
        <w:jc w:val="left"/>
        <w:rPr>
          <w:rFonts w:eastAsia="仿宋"/>
          <w:sz w:val="28"/>
          <w:szCs w:val="28"/>
        </w:rPr>
      </w:pPr>
      <w:r>
        <w:rPr>
          <w:rFonts w:eastAsia="仿宋"/>
          <w:sz w:val="28"/>
          <w:szCs w:val="28"/>
        </w:rPr>
        <w:t>附件</w:t>
      </w:r>
      <w:r>
        <w:rPr>
          <w:rFonts w:hint="eastAsia" w:eastAsia="仿宋"/>
          <w:sz w:val="28"/>
          <w:szCs w:val="28"/>
        </w:rPr>
        <w:t>4：</w:t>
      </w:r>
    </w:p>
    <w:p>
      <w:pPr>
        <w:spacing w:line="600" w:lineRule="exact"/>
        <w:jc w:val="center"/>
        <w:rPr>
          <w:b/>
          <w:bCs/>
          <w:sz w:val="32"/>
          <w:szCs w:val="32"/>
        </w:rPr>
      </w:pPr>
      <w:r>
        <w:rPr>
          <w:b/>
          <w:bCs/>
          <w:sz w:val="32"/>
          <w:szCs w:val="32"/>
        </w:rPr>
        <w:t>班主任津贴</w:t>
      </w:r>
      <w:r>
        <w:rPr>
          <w:rFonts w:hint="eastAsia"/>
          <w:b/>
          <w:sz w:val="32"/>
          <w:szCs w:val="32"/>
        </w:rPr>
        <w:t>经费划拨办法</w:t>
      </w:r>
    </w:p>
    <w:p>
      <w:pPr>
        <w:spacing w:line="600" w:lineRule="exact"/>
        <w:ind w:firstLine="560" w:firstLineChars="200"/>
        <w:rPr>
          <w:rFonts w:eastAsia="仿宋"/>
          <w:sz w:val="28"/>
          <w:szCs w:val="28"/>
        </w:rPr>
      </w:pPr>
      <w:r>
        <w:rPr>
          <w:rFonts w:eastAsia="仿宋"/>
          <w:sz w:val="28"/>
          <w:szCs w:val="28"/>
        </w:rPr>
        <w:t>为保障班主任工作权益，推动班主任工作持续健康开展，特制定本办法。</w:t>
      </w:r>
    </w:p>
    <w:p>
      <w:pPr>
        <w:spacing w:line="600" w:lineRule="exact"/>
        <w:ind w:firstLine="560" w:firstLineChars="200"/>
        <w:rPr>
          <w:rFonts w:eastAsia="仿宋"/>
          <w:sz w:val="28"/>
          <w:szCs w:val="28"/>
        </w:rPr>
      </w:pPr>
      <w:r>
        <w:rPr>
          <w:rFonts w:eastAsia="仿宋"/>
          <w:sz w:val="28"/>
          <w:szCs w:val="28"/>
        </w:rPr>
        <w:t>一、发放对象</w:t>
      </w:r>
    </w:p>
    <w:p>
      <w:pPr>
        <w:spacing w:line="600" w:lineRule="exact"/>
        <w:ind w:firstLine="560" w:firstLineChars="200"/>
        <w:rPr>
          <w:rFonts w:eastAsia="仿宋"/>
          <w:sz w:val="28"/>
          <w:szCs w:val="28"/>
        </w:rPr>
      </w:pPr>
      <w:r>
        <w:rPr>
          <w:rFonts w:eastAsia="仿宋"/>
          <w:sz w:val="28"/>
          <w:szCs w:val="28"/>
        </w:rPr>
        <w:t>承担学院班主任工作的教师（含实习点带教班主任）。</w:t>
      </w:r>
    </w:p>
    <w:p>
      <w:pPr>
        <w:spacing w:line="600" w:lineRule="exact"/>
        <w:ind w:firstLine="560" w:firstLineChars="200"/>
        <w:rPr>
          <w:rFonts w:eastAsia="仿宋"/>
          <w:sz w:val="28"/>
          <w:szCs w:val="28"/>
        </w:rPr>
      </w:pPr>
      <w:r>
        <w:rPr>
          <w:rFonts w:eastAsia="仿宋"/>
          <w:sz w:val="28"/>
          <w:szCs w:val="28"/>
        </w:rPr>
        <w:t>二、发放标准</w:t>
      </w:r>
    </w:p>
    <w:p>
      <w:pPr>
        <w:spacing w:line="600" w:lineRule="exact"/>
        <w:ind w:firstLine="560" w:firstLineChars="200"/>
        <w:rPr>
          <w:rFonts w:eastAsia="仿宋"/>
          <w:sz w:val="28"/>
          <w:szCs w:val="28"/>
        </w:rPr>
      </w:pPr>
      <w:r>
        <w:rPr>
          <w:rFonts w:eastAsia="仿宋"/>
          <w:sz w:val="28"/>
          <w:szCs w:val="28"/>
        </w:rPr>
        <w:t>1.每班每月发放班主任津贴分值标准为60分。</w:t>
      </w:r>
    </w:p>
    <w:p>
      <w:pPr>
        <w:spacing w:line="600" w:lineRule="exact"/>
        <w:ind w:firstLine="560" w:firstLineChars="200"/>
        <w:rPr>
          <w:rFonts w:eastAsia="仿宋"/>
          <w:sz w:val="28"/>
          <w:szCs w:val="28"/>
        </w:rPr>
      </w:pPr>
      <w:r>
        <w:rPr>
          <w:rFonts w:eastAsia="仿宋"/>
          <w:sz w:val="28"/>
          <w:szCs w:val="28"/>
        </w:rPr>
        <w:t>2.具体发放标准为：班主任津贴=所带班级数*60（分）*担任班主任时间（月）。</w:t>
      </w:r>
    </w:p>
    <w:p>
      <w:pPr>
        <w:spacing w:line="600" w:lineRule="exact"/>
        <w:ind w:firstLine="560" w:firstLineChars="200"/>
        <w:rPr>
          <w:rFonts w:eastAsia="仿宋"/>
          <w:sz w:val="28"/>
          <w:szCs w:val="28"/>
        </w:rPr>
      </w:pPr>
      <w:r>
        <w:rPr>
          <w:rFonts w:eastAsia="仿宋"/>
          <w:sz w:val="28"/>
          <w:szCs w:val="28"/>
        </w:rPr>
        <w:t>3.担任班主任时间的计算办法为：原则上按学期进行计发，以实际担任班主任时间为准。</w:t>
      </w:r>
    </w:p>
    <w:p>
      <w:pPr>
        <w:spacing w:line="600" w:lineRule="exact"/>
        <w:ind w:firstLine="560" w:firstLineChars="200"/>
        <w:rPr>
          <w:rFonts w:eastAsia="仿宋"/>
          <w:strike/>
          <w:sz w:val="28"/>
          <w:szCs w:val="28"/>
        </w:rPr>
      </w:pPr>
      <w:r>
        <w:rPr>
          <w:rFonts w:eastAsia="仿宋"/>
          <w:sz w:val="28"/>
          <w:szCs w:val="28"/>
        </w:rPr>
        <w:t>4.班主任所带班级数原则上不超过3个，超过部分不予计发津贴。</w:t>
      </w:r>
    </w:p>
    <w:p>
      <w:pPr>
        <w:spacing w:line="600" w:lineRule="exact"/>
        <w:ind w:firstLine="560" w:firstLineChars="200"/>
        <w:rPr>
          <w:rFonts w:eastAsia="仿宋"/>
          <w:sz w:val="28"/>
          <w:szCs w:val="28"/>
        </w:rPr>
      </w:pPr>
      <w:r>
        <w:rPr>
          <w:rFonts w:eastAsia="仿宋"/>
          <w:sz w:val="28"/>
          <w:szCs w:val="28"/>
        </w:rPr>
        <w:t>三、发放</w:t>
      </w:r>
      <w:r>
        <w:rPr>
          <w:rFonts w:hint="eastAsia" w:eastAsia="仿宋"/>
          <w:sz w:val="28"/>
          <w:szCs w:val="28"/>
        </w:rPr>
        <w:t>说明</w:t>
      </w:r>
    </w:p>
    <w:p>
      <w:pPr>
        <w:spacing w:line="600" w:lineRule="exact"/>
        <w:ind w:firstLine="560" w:firstLineChars="200"/>
        <w:rPr>
          <w:rFonts w:eastAsia="仿宋"/>
          <w:sz w:val="28"/>
          <w:szCs w:val="28"/>
        </w:rPr>
      </w:pPr>
      <w:r>
        <w:rPr>
          <w:rFonts w:eastAsia="仿宋"/>
          <w:sz w:val="28"/>
          <w:szCs w:val="28"/>
        </w:rPr>
        <w:t>1.每年12月15日前，各学部将应发班主任津贴制表，报学生工作处；</w:t>
      </w:r>
    </w:p>
    <w:p>
      <w:pPr>
        <w:spacing w:line="600" w:lineRule="exact"/>
        <w:ind w:firstLine="560" w:firstLineChars="200"/>
        <w:rPr>
          <w:rFonts w:eastAsia="仿宋"/>
          <w:sz w:val="28"/>
          <w:szCs w:val="28"/>
        </w:rPr>
      </w:pPr>
      <w:r>
        <w:rPr>
          <w:rFonts w:eastAsia="仿宋"/>
          <w:sz w:val="28"/>
          <w:szCs w:val="28"/>
        </w:rPr>
        <w:t>2.学生工作处于5个工作日内完成审核，报学院审批。</w:t>
      </w:r>
    </w:p>
    <w:p>
      <w:pPr>
        <w:snapToGrid w:val="0"/>
        <w:spacing w:line="600" w:lineRule="exact"/>
        <w:ind w:firstLine="560" w:firstLineChars="200"/>
        <w:rPr>
          <w:rFonts w:eastAsia="仿宋"/>
          <w:sz w:val="28"/>
          <w:szCs w:val="28"/>
        </w:rPr>
      </w:pPr>
      <w:r>
        <w:rPr>
          <w:rFonts w:hint="eastAsia" w:eastAsia="仿宋"/>
          <w:sz w:val="28"/>
          <w:szCs w:val="28"/>
        </w:rPr>
        <w:t>3.</w:t>
      </w:r>
      <w:r>
        <w:rPr>
          <w:rFonts w:hint="eastAsia" w:eastAsia="仿宋"/>
          <w:sz w:val="28"/>
          <w:szCs w:val="28"/>
          <w:shd w:val="clear" w:color="auto" w:fill="FFFFFF"/>
        </w:rPr>
        <w:t>班主任津贴纳入公共服务及其他业绩津贴经费，由职能部门核定后报办公室审核，再由办公室按分值</w:t>
      </w:r>
      <w:r>
        <w:rPr>
          <w:rFonts w:hint="eastAsia" w:eastAsia="仿宋"/>
          <w:sz w:val="28"/>
          <w:szCs w:val="28"/>
        </w:rPr>
        <w:t>核拨至班级</w:t>
      </w:r>
      <w:r>
        <w:rPr>
          <w:rFonts w:eastAsia="仿宋"/>
          <w:sz w:val="28"/>
          <w:szCs w:val="28"/>
        </w:rPr>
        <w:t>所在学部二次分配</w:t>
      </w:r>
      <w:r>
        <w:rPr>
          <w:rFonts w:hint="eastAsia" w:eastAsia="仿宋"/>
          <w:sz w:val="28"/>
          <w:szCs w:val="28"/>
        </w:rPr>
        <w:t>。</w:t>
      </w:r>
    </w:p>
    <w:p>
      <w:pPr>
        <w:spacing w:line="600" w:lineRule="exact"/>
        <w:ind w:firstLine="560" w:firstLineChars="200"/>
        <w:rPr>
          <w:rFonts w:eastAsia="仿宋"/>
          <w:sz w:val="28"/>
          <w:szCs w:val="28"/>
        </w:rPr>
      </w:pPr>
      <w:r>
        <w:rPr>
          <w:rFonts w:eastAsia="仿宋"/>
          <w:sz w:val="28"/>
          <w:szCs w:val="28"/>
        </w:rPr>
        <w:t>四、本办法由学生工作处负责解释。</w:t>
      </w:r>
    </w:p>
    <w:p>
      <w:pPr>
        <w:spacing w:line="480" w:lineRule="exact"/>
        <w:rPr>
          <w:rFonts w:eastAsia="仿宋"/>
          <w:sz w:val="28"/>
          <w:szCs w:val="28"/>
        </w:rPr>
      </w:pPr>
      <w:r>
        <w:rPr>
          <w:rFonts w:eastAsia="仿宋"/>
          <w:sz w:val="28"/>
          <w:szCs w:val="28"/>
        </w:rPr>
        <w:br w:type="page"/>
      </w:r>
    </w:p>
    <w:p>
      <w:pPr>
        <w:snapToGrid w:val="0"/>
        <w:spacing w:line="480" w:lineRule="exact"/>
        <w:jc w:val="left"/>
        <w:rPr>
          <w:rFonts w:eastAsia="仿宋"/>
          <w:sz w:val="28"/>
          <w:szCs w:val="28"/>
        </w:rPr>
      </w:pPr>
      <w:r>
        <w:rPr>
          <w:rFonts w:eastAsia="仿宋"/>
          <w:sz w:val="28"/>
          <w:szCs w:val="28"/>
        </w:rPr>
        <w:t>附件</w:t>
      </w:r>
      <w:r>
        <w:rPr>
          <w:rFonts w:hint="eastAsia" w:eastAsia="仿宋"/>
          <w:sz w:val="28"/>
          <w:szCs w:val="28"/>
        </w:rPr>
        <w:t>5</w:t>
      </w:r>
    </w:p>
    <w:p>
      <w:pPr>
        <w:snapToGrid w:val="0"/>
        <w:spacing w:line="520" w:lineRule="exact"/>
        <w:jc w:val="center"/>
        <w:rPr>
          <w:b/>
          <w:strike/>
          <w:sz w:val="32"/>
          <w:szCs w:val="32"/>
        </w:rPr>
      </w:pPr>
      <w:r>
        <w:rPr>
          <w:b/>
          <w:sz w:val="32"/>
          <w:szCs w:val="32"/>
        </w:rPr>
        <w:t>管理岗工作量</w:t>
      </w:r>
      <w:r>
        <w:rPr>
          <w:rFonts w:hint="eastAsia"/>
          <w:b/>
          <w:sz w:val="32"/>
          <w:szCs w:val="32"/>
        </w:rPr>
        <w:t>补贴经费划拨办法</w:t>
      </w:r>
    </w:p>
    <w:p>
      <w:pPr>
        <w:snapToGrid w:val="0"/>
        <w:spacing w:line="520" w:lineRule="exact"/>
        <w:ind w:firstLine="560" w:firstLineChars="200"/>
        <w:rPr>
          <w:rFonts w:eastAsia="仿宋"/>
          <w:sz w:val="28"/>
          <w:szCs w:val="28"/>
        </w:rPr>
      </w:pPr>
      <w:r>
        <w:rPr>
          <w:rFonts w:eastAsia="仿宋"/>
          <w:sz w:val="28"/>
          <w:szCs w:val="28"/>
        </w:rPr>
        <w:t>按照学校“杏林学院办学主体迁址南通大学启东校区，进行校园自主管理和独立运行”的要求，为建立和体现岗位绩效和贡献的分配模式，充分激发和调动广大教职工的积极性和创造性，为稳定高效运行提供保障，现结合本单位年度运行实际情况，制定本方案：</w:t>
      </w:r>
    </w:p>
    <w:p>
      <w:pPr>
        <w:snapToGrid w:val="0"/>
        <w:spacing w:line="520" w:lineRule="exact"/>
        <w:ind w:firstLine="560" w:firstLineChars="200"/>
        <w:rPr>
          <w:rFonts w:eastAsia="仿宋"/>
          <w:sz w:val="28"/>
          <w:szCs w:val="28"/>
        </w:rPr>
      </w:pPr>
      <w:r>
        <w:rPr>
          <w:rFonts w:eastAsia="仿宋"/>
          <w:sz w:val="28"/>
          <w:szCs w:val="28"/>
        </w:rPr>
        <w:t>一、核岗范围</w:t>
      </w:r>
    </w:p>
    <w:p>
      <w:pPr>
        <w:snapToGrid w:val="0"/>
        <w:spacing w:line="520" w:lineRule="exact"/>
        <w:ind w:firstLine="560" w:firstLineChars="200"/>
        <w:rPr>
          <w:rFonts w:eastAsia="仿宋"/>
          <w:sz w:val="28"/>
          <w:szCs w:val="28"/>
        </w:rPr>
      </w:pPr>
      <w:r>
        <w:rPr>
          <w:rFonts w:eastAsia="仿宋"/>
          <w:sz w:val="28"/>
          <w:szCs w:val="28"/>
        </w:rPr>
        <w:t>杏林〔管委会〕党政管理岗位和辅导员岗位。</w:t>
      </w:r>
    </w:p>
    <w:p>
      <w:pPr>
        <w:snapToGrid w:val="0"/>
        <w:spacing w:line="520" w:lineRule="exact"/>
        <w:ind w:firstLine="560" w:firstLineChars="200"/>
        <w:rPr>
          <w:rFonts w:eastAsia="仿宋"/>
          <w:sz w:val="28"/>
          <w:szCs w:val="28"/>
        </w:rPr>
      </w:pPr>
      <w:r>
        <w:rPr>
          <w:rFonts w:eastAsia="仿宋"/>
          <w:sz w:val="28"/>
          <w:szCs w:val="28"/>
        </w:rPr>
        <w:t>二、计发标准</w:t>
      </w:r>
    </w:p>
    <w:p>
      <w:pPr>
        <w:snapToGrid w:val="0"/>
        <w:spacing w:line="520" w:lineRule="exact"/>
        <w:ind w:firstLine="560" w:firstLineChars="200"/>
        <w:rPr>
          <w:rFonts w:eastAsia="仿宋"/>
          <w:sz w:val="28"/>
          <w:szCs w:val="28"/>
        </w:rPr>
      </w:pPr>
      <w:r>
        <w:rPr>
          <w:rFonts w:eastAsia="仿宋"/>
          <w:sz w:val="28"/>
          <w:szCs w:val="28"/>
        </w:rPr>
        <w:t>岗位工作量</w:t>
      </w:r>
      <w:r>
        <w:rPr>
          <w:rFonts w:hint="eastAsia" w:eastAsia="仿宋"/>
          <w:sz w:val="28"/>
          <w:szCs w:val="28"/>
        </w:rPr>
        <w:t>补贴</w:t>
      </w:r>
      <w:r>
        <w:rPr>
          <w:rFonts w:eastAsia="仿宋"/>
          <w:sz w:val="28"/>
          <w:szCs w:val="28"/>
        </w:rPr>
        <w:t>全年计12个月，时间为当年1月至12月。根据学院实际，每个岗位工作量的全年分值标准按照6000分计。</w:t>
      </w:r>
    </w:p>
    <w:p>
      <w:pPr>
        <w:snapToGrid w:val="0"/>
        <w:spacing w:line="520" w:lineRule="exact"/>
        <w:ind w:firstLine="560" w:firstLineChars="200"/>
        <w:rPr>
          <w:rFonts w:eastAsia="仿宋"/>
          <w:sz w:val="28"/>
          <w:szCs w:val="28"/>
        </w:rPr>
      </w:pPr>
      <w:r>
        <w:rPr>
          <w:rFonts w:eastAsia="仿宋"/>
          <w:sz w:val="28"/>
          <w:szCs w:val="28"/>
        </w:rPr>
        <w:t>三、计算依据</w:t>
      </w:r>
    </w:p>
    <w:p>
      <w:pPr>
        <w:snapToGrid w:val="0"/>
        <w:spacing w:line="520" w:lineRule="exact"/>
        <w:ind w:firstLine="560" w:firstLineChars="200"/>
        <w:rPr>
          <w:rFonts w:eastAsia="仿宋"/>
          <w:sz w:val="28"/>
          <w:szCs w:val="28"/>
        </w:rPr>
      </w:pPr>
      <w:r>
        <w:rPr>
          <w:rFonts w:eastAsia="仿宋"/>
          <w:sz w:val="28"/>
          <w:szCs w:val="28"/>
        </w:rPr>
        <w:t>1.职能部门。根据学校人事处、学院理事会分别确定的部门岗位应有人数和在岗情况进行核算岗位工作量</w:t>
      </w:r>
      <w:r>
        <w:rPr>
          <w:rFonts w:hint="eastAsia" w:eastAsia="仿宋"/>
          <w:sz w:val="28"/>
          <w:szCs w:val="28"/>
        </w:rPr>
        <w:t>补贴</w:t>
      </w:r>
      <w:r>
        <w:rPr>
          <w:rFonts w:eastAsia="仿宋"/>
          <w:sz w:val="28"/>
          <w:szCs w:val="28"/>
        </w:rPr>
        <w:t>分值。</w:t>
      </w:r>
    </w:p>
    <w:p>
      <w:pPr>
        <w:snapToGrid w:val="0"/>
        <w:spacing w:line="520" w:lineRule="exact"/>
        <w:ind w:firstLine="560" w:firstLineChars="200"/>
        <w:rPr>
          <w:rFonts w:eastAsia="仿宋"/>
          <w:sz w:val="28"/>
          <w:szCs w:val="28"/>
        </w:rPr>
      </w:pPr>
      <w:r>
        <w:rPr>
          <w:rFonts w:eastAsia="仿宋"/>
          <w:sz w:val="28"/>
          <w:szCs w:val="28"/>
        </w:rPr>
        <w:t>2.辅导员岗位。辅导员岗位按照1:300的师生比进行核算，大于0.5小于1补贴0.5个岗位，大于1小于1.5的补贴1个岗位，以此类推。</w:t>
      </w:r>
    </w:p>
    <w:p>
      <w:pPr>
        <w:snapToGrid w:val="0"/>
        <w:spacing w:line="520" w:lineRule="exact"/>
        <w:ind w:firstLine="560" w:firstLineChars="200"/>
        <w:rPr>
          <w:rFonts w:eastAsia="仿宋"/>
          <w:sz w:val="28"/>
          <w:szCs w:val="28"/>
        </w:rPr>
      </w:pPr>
      <w:r>
        <w:rPr>
          <w:rFonts w:eastAsia="仿宋"/>
          <w:sz w:val="28"/>
          <w:szCs w:val="28"/>
        </w:rPr>
        <w:t>3.专业学部。根据其专职教学管理人员情况，按照学部学生数补贴教学管理工作量，以1500人为基数，大于0.5小于1的补贴0.5个岗位，大于1小于1.5的补贴1个岗位，以此类推。以上方法不作为学部岗位核编计算依据和标准。</w:t>
      </w:r>
    </w:p>
    <w:p>
      <w:pPr>
        <w:snapToGrid w:val="0"/>
        <w:spacing w:line="520" w:lineRule="exact"/>
        <w:ind w:firstLine="560" w:firstLineChars="200"/>
        <w:rPr>
          <w:rFonts w:eastAsia="仿宋"/>
          <w:sz w:val="28"/>
          <w:szCs w:val="28"/>
        </w:rPr>
      </w:pPr>
      <w:r>
        <w:rPr>
          <w:rFonts w:eastAsia="仿宋"/>
          <w:sz w:val="28"/>
          <w:szCs w:val="28"/>
        </w:rPr>
        <w:t>四、发放方式</w:t>
      </w:r>
    </w:p>
    <w:p>
      <w:pPr>
        <w:snapToGrid w:val="0"/>
        <w:spacing w:line="520" w:lineRule="exact"/>
        <w:ind w:firstLine="560" w:firstLineChars="200"/>
        <w:rPr>
          <w:rFonts w:eastAsia="仿宋"/>
          <w:sz w:val="28"/>
          <w:szCs w:val="28"/>
        </w:rPr>
      </w:pPr>
      <w:r>
        <w:rPr>
          <w:rFonts w:eastAsia="仿宋"/>
          <w:sz w:val="28"/>
          <w:szCs w:val="28"/>
        </w:rPr>
        <w:t>岗位工作量补贴</w:t>
      </w:r>
      <w:r>
        <w:rPr>
          <w:rFonts w:hint="eastAsia" w:eastAsia="仿宋"/>
          <w:sz w:val="28"/>
          <w:szCs w:val="28"/>
          <w:shd w:val="clear" w:color="auto" w:fill="FFFFFF"/>
        </w:rPr>
        <w:t>纳入公共服务及其他业绩津贴经费</w:t>
      </w:r>
      <w:r>
        <w:rPr>
          <w:rFonts w:eastAsia="仿宋"/>
          <w:sz w:val="28"/>
          <w:szCs w:val="28"/>
        </w:rPr>
        <w:t>由学院办公室负责核拨。辅导员岗位总量</w:t>
      </w:r>
      <w:r>
        <w:rPr>
          <w:rFonts w:hint="eastAsia" w:eastAsia="仿宋"/>
          <w:sz w:val="28"/>
          <w:szCs w:val="28"/>
        </w:rPr>
        <w:t>分值</w:t>
      </w:r>
      <w:r>
        <w:rPr>
          <w:rFonts w:eastAsia="仿宋"/>
          <w:sz w:val="28"/>
          <w:szCs w:val="28"/>
        </w:rPr>
        <w:t>核拨至学工处，其他岗位总量</w:t>
      </w:r>
      <w:r>
        <w:rPr>
          <w:rFonts w:hint="eastAsia" w:eastAsia="仿宋"/>
          <w:sz w:val="28"/>
          <w:szCs w:val="28"/>
        </w:rPr>
        <w:t>分值</w:t>
      </w:r>
      <w:r>
        <w:rPr>
          <w:rFonts w:eastAsia="仿宋"/>
          <w:sz w:val="28"/>
          <w:szCs w:val="28"/>
        </w:rPr>
        <w:t>按照人员人事关系所属情况拨至各部门，负责部门根据人员的工作任务承担情况，组织制定相应办法，进行二次分配。</w:t>
      </w:r>
    </w:p>
    <w:p>
      <w:pPr>
        <w:snapToGrid w:val="0"/>
        <w:spacing w:line="520" w:lineRule="exact"/>
        <w:ind w:firstLine="560" w:firstLineChars="200"/>
        <w:rPr>
          <w:rFonts w:eastAsia="仿宋"/>
          <w:sz w:val="28"/>
          <w:szCs w:val="28"/>
        </w:rPr>
      </w:pPr>
      <w:r>
        <w:rPr>
          <w:rFonts w:eastAsia="仿宋"/>
          <w:sz w:val="28"/>
          <w:szCs w:val="28"/>
        </w:rPr>
        <w:t>五、本办法由学院办公室进行解释。</w:t>
      </w:r>
    </w:p>
    <w:p>
      <w:pPr>
        <w:widowControl/>
        <w:spacing w:line="480" w:lineRule="exact"/>
        <w:jc w:val="left"/>
        <w:rPr>
          <w:rFonts w:eastAsia="仿宋"/>
          <w:sz w:val="28"/>
          <w:szCs w:val="28"/>
        </w:rPr>
      </w:pPr>
      <w:r>
        <w:rPr>
          <w:rFonts w:eastAsia="仿宋"/>
          <w:sz w:val="28"/>
          <w:szCs w:val="28"/>
        </w:rPr>
        <w:br w:type="page"/>
      </w:r>
    </w:p>
    <w:p>
      <w:pPr>
        <w:snapToGrid w:val="0"/>
        <w:spacing w:line="480" w:lineRule="exact"/>
        <w:jc w:val="left"/>
        <w:rPr>
          <w:rFonts w:eastAsia="仿宋"/>
          <w:sz w:val="28"/>
          <w:szCs w:val="28"/>
        </w:rPr>
      </w:pPr>
      <w:r>
        <w:rPr>
          <w:rFonts w:eastAsia="仿宋"/>
          <w:sz w:val="28"/>
          <w:szCs w:val="28"/>
        </w:rPr>
        <w:t>附件</w:t>
      </w:r>
      <w:r>
        <w:rPr>
          <w:rFonts w:hint="eastAsia" w:eastAsia="仿宋"/>
          <w:sz w:val="28"/>
          <w:szCs w:val="28"/>
        </w:rPr>
        <w:t>6</w:t>
      </w:r>
    </w:p>
    <w:p>
      <w:pPr>
        <w:snapToGrid w:val="0"/>
        <w:spacing w:line="600" w:lineRule="exact"/>
        <w:jc w:val="center"/>
        <w:rPr>
          <w:rFonts w:eastAsia="仿宋"/>
          <w:sz w:val="28"/>
          <w:szCs w:val="28"/>
        </w:rPr>
      </w:pPr>
      <w:r>
        <w:rPr>
          <w:b/>
          <w:sz w:val="32"/>
          <w:szCs w:val="32"/>
        </w:rPr>
        <w:t>党支部、工会和共青团工作津贴</w:t>
      </w:r>
      <w:r>
        <w:rPr>
          <w:rFonts w:hint="eastAsia"/>
          <w:b/>
          <w:sz w:val="32"/>
          <w:szCs w:val="32"/>
        </w:rPr>
        <w:t>经费划拨办法</w:t>
      </w:r>
    </w:p>
    <w:p>
      <w:pPr>
        <w:snapToGrid w:val="0"/>
        <w:spacing w:line="600" w:lineRule="exact"/>
        <w:ind w:firstLine="560" w:firstLineChars="200"/>
        <w:rPr>
          <w:rFonts w:eastAsia="仿宋"/>
          <w:sz w:val="28"/>
          <w:szCs w:val="28"/>
        </w:rPr>
      </w:pPr>
      <w:r>
        <w:rPr>
          <w:rFonts w:eastAsia="仿宋"/>
          <w:sz w:val="28"/>
          <w:szCs w:val="28"/>
        </w:rPr>
        <w:t>为切实加强基层党支部、工会和团委建设，充分发挥基层党支部、工会和团委的功能，建立和体现岗位绩效和贡献的分配模式，现结合学院年度运行实际情况，制定本方案：</w:t>
      </w:r>
    </w:p>
    <w:p>
      <w:pPr>
        <w:snapToGrid w:val="0"/>
        <w:spacing w:line="600" w:lineRule="exact"/>
        <w:ind w:firstLine="560" w:firstLineChars="200"/>
        <w:rPr>
          <w:rFonts w:eastAsia="仿宋"/>
          <w:sz w:val="28"/>
          <w:szCs w:val="28"/>
        </w:rPr>
      </w:pPr>
      <w:r>
        <w:rPr>
          <w:rFonts w:eastAsia="仿宋"/>
          <w:sz w:val="28"/>
          <w:szCs w:val="28"/>
        </w:rPr>
        <w:t>一、党支部工作津贴</w:t>
      </w:r>
    </w:p>
    <w:p>
      <w:pPr>
        <w:snapToGrid w:val="0"/>
        <w:spacing w:line="600" w:lineRule="exact"/>
        <w:ind w:firstLine="560" w:firstLineChars="200"/>
        <w:rPr>
          <w:rFonts w:eastAsia="仿宋"/>
          <w:sz w:val="28"/>
          <w:szCs w:val="28"/>
        </w:rPr>
      </w:pPr>
      <w:r>
        <w:rPr>
          <w:rFonts w:eastAsia="仿宋"/>
          <w:sz w:val="28"/>
          <w:szCs w:val="28"/>
        </w:rPr>
        <w:t>1.发放对象：院各党支部书记及委员。</w:t>
      </w:r>
    </w:p>
    <w:p>
      <w:pPr>
        <w:snapToGrid w:val="0"/>
        <w:spacing w:line="600" w:lineRule="exact"/>
        <w:ind w:firstLine="560" w:firstLineChars="200"/>
        <w:rPr>
          <w:rFonts w:eastAsia="仿宋"/>
          <w:sz w:val="28"/>
          <w:szCs w:val="28"/>
        </w:rPr>
      </w:pPr>
      <w:r>
        <w:rPr>
          <w:rFonts w:eastAsia="仿宋"/>
          <w:sz w:val="28"/>
          <w:szCs w:val="28"/>
        </w:rPr>
        <w:t>2.计发标准：支部书记工作津贴分值标准按照每月60分标准发放，支部委员标准为支部书记的1/2，全年按12个月发放。</w:t>
      </w:r>
    </w:p>
    <w:p>
      <w:pPr>
        <w:snapToGrid w:val="0"/>
        <w:spacing w:line="600" w:lineRule="exact"/>
        <w:ind w:firstLine="560" w:firstLineChars="200"/>
        <w:rPr>
          <w:rFonts w:eastAsia="仿宋"/>
          <w:sz w:val="28"/>
          <w:szCs w:val="28"/>
        </w:rPr>
      </w:pPr>
      <w:r>
        <w:rPr>
          <w:rFonts w:eastAsia="仿宋"/>
          <w:sz w:val="28"/>
          <w:szCs w:val="28"/>
        </w:rPr>
        <w:t>二、工会工作津贴</w:t>
      </w:r>
    </w:p>
    <w:p>
      <w:pPr>
        <w:snapToGrid w:val="0"/>
        <w:spacing w:line="600" w:lineRule="exact"/>
        <w:ind w:firstLine="560" w:firstLineChars="200"/>
        <w:rPr>
          <w:rFonts w:eastAsia="仿宋"/>
          <w:sz w:val="28"/>
          <w:szCs w:val="28"/>
        </w:rPr>
      </w:pPr>
      <w:r>
        <w:rPr>
          <w:rFonts w:eastAsia="仿宋"/>
          <w:sz w:val="28"/>
          <w:szCs w:val="28"/>
        </w:rPr>
        <w:t>1.发放对象：院工会委员会委员。</w:t>
      </w:r>
    </w:p>
    <w:p>
      <w:pPr>
        <w:snapToGrid w:val="0"/>
        <w:spacing w:line="600" w:lineRule="exact"/>
        <w:ind w:firstLine="560" w:firstLineChars="200"/>
        <w:rPr>
          <w:rFonts w:eastAsia="仿宋"/>
          <w:sz w:val="28"/>
          <w:szCs w:val="28"/>
        </w:rPr>
      </w:pPr>
      <w:r>
        <w:rPr>
          <w:rFonts w:eastAsia="仿宋"/>
          <w:sz w:val="28"/>
          <w:szCs w:val="28"/>
        </w:rPr>
        <w:t>2.计发标准：工会主席津贴分指标准按照每月60分标准发放，工会委员标准为工会主席的1/2，全年按12个月发放。</w:t>
      </w:r>
    </w:p>
    <w:p>
      <w:pPr>
        <w:snapToGrid w:val="0"/>
        <w:spacing w:line="600" w:lineRule="exact"/>
        <w:ind w:firstLine="560" w:firstLineChars="200"/>
        <w:rPr>
          <w:rFonts w:eastAsia="仿宋"/>
          <w:sz w:val="28"/>
          <w:szCs w:val="28"/>
        </w:rPr>
      </w:pPr>
      <w:r>
        <w:rPr>
          <w:rFonts w:eastAsia="仿宋"/>
          <w:sz w:val="28"/>
          <w:szCs w:val="28"/>
        </w:rPr>
        <w:t>三、共青团工作津贴</w:t>
      </w:r>
    </w:p>
    <w:p>
      <w:pPr>
        <w:snapToGrid w:val="0"/>
        <w:spacing w:line="600" w:lineRule="exact"/>
        <w:ind w:firstLine="560" w:firstLineChars="200"/>
        <w:rPr>
          <w:rFonts w:eastAsia="仿宋"/>
          <w:sz w:val="28"/>
          <w:szCs w:val="28"/>
        </w:rPr>
      </w:pPr>
      <w:r>
        <w:rPr>
          <w:rFonts w:eastAsia="仿宋"/>
          <w:sz w:val="28"/>
          <w:szCs w:val="28"/>
        </w:rPr>
        <w:t>1.发放对象：未受聘在共青团工作岗位上的团委委员。</w:t>
      </w:r>
    </w:p>
    <w:p>
      <w:pPr>
        <w:snapToGrid w:val="0"/>
        <w:spacing w:line="600" w:lineRule="exact"/>
        <w:ind w:firstLine="560" w:firstLineChars="200"/>
        <w:rPr>
          <w:rFonts w:eastAsia="仿宋"/>
          <w:sz w:val="28"/>
          <w:szCs w:val="28"/>
        </w:rPr>
      </w:pPr>
      <w:r>
        <w:rPr>
          <w:rFonts w:eastAsia="仿宋"/>
          <w:sz w:val="28"/>
          <w:szCs w:val="28"/>
        </w:rPr>
        <w:t>2.计发标准：每位委员每月津贴分值标准40分，全年按12个月计发。</w:t>
      </w:r>
    </w:p>
    <w:p>
      <w:pPr>
        <w:snapToGrid w:val="0"/>
        <w:spacing w:line="600" w:lineRule="exact"/>
        <w:ind w:firstLine="560" w:firstLineChars="200"/>
        <w:rPr>
          <w:rFonts w:eastAsia="仿宋"/>
          <w:sz w:val="28"/>
          <w:szCs w:val="28"/>
        </w:rPr>
      </w:pPr>
      <w:r>
        <w:rPr>
          <w:rFonts w:eastAsia="仿宋"/>
          <w:sz w:val="28"/>
          <w:szCs w:val="28"/>
        </w:rPr>
        <w:t>四、其他说明</w:t>
      </w:r>
    </w:p>
    <w:p>
      <w:pPr>
        <w:snapToGrid w:val="0"/>
        <w:spacing w:line="600" w:lineRule="exact"/>
        <w:ind w:firstLine="560" w:firstLineChars="200"/>
        <w:rPr>
          <w:rFonts w:eastAsia="仿宋"/>
          <w:sz w:val="28"/>
          <w:szCs w:val="28"/>
        </w:rPr>
      </w:pPr>
      <w:r>
        <w:rPr>
          <w:rFonts w:eastAsia="仿宋"/>
          <w:sz w:val="28"/>
          <w:szCs w:val="28"/>
        </w:rPr>
        <w:t>1.核算时间为1月至12月。</w:t>
      </w:r>
    </w:p>
    <w:p>
      <w:pPr>
        <w:snapToGrid w:val="0"/>
        <w:spacing w:line="600" w:lineRule="exact"/>
        <w:ind w:firstLine="560" w:firstLineChars="200"/>
        <w:rPr>
          <w:rFonts w:eastAsia="仿宋"/>
          <w:sz w:val="28"/>
          <w:szCs w:val="28"/>
        </w:rPr>
      </w:pPr>
      <w:r>
        <w:rPr>
          <w:rFonts w:eastAsia="仿宋"/>
          <w:sz w:val="28"/>
          <w:szCs w:val="28"/>
        </w:rPr>
        <w:t>2.岗位发生变动人员分段计算。</w:t>
      </w:r>
    </w:p>
    <w:p>
      <w:pPr>
        <w:snapToGrid w:val="0"/>
        <w:spacing w:line="600" w:lineRule="exact"/>
        <w:ind w:firstLine="560" w:firstLineChars="200"/>
        <w:rPr>
          <w:rFonts w:eastAsia="仿宋"/>
          <w:sz w:val="28"/>
          <w:szCs w:val="28"/>
        </w:rPr>
      </w:pPr>
      <w:r>
        <w:rPr>
          <w:rFonts w:hint="eastAsia" w:eastAsia="仿宋"/>
          <w:sz w:val="28"/>
          <w:szCs w:val="28"/>
        </w:rPr>
        <w:t>3.上述津贴分值</w:t>
      </w:r>
      <w:r>
        <w:rPr>
          <w:rFonts w:hint="eastAsia" w:eastAsia="仿宋"/>
          <w:sz w:val="28"/>
          <w:szCs w:val="28"/>
          <w:shd w:val="clear" w:color="auto" w:fill="FFFFFF"/>
        </w:rPr>
        <w:t>由职能部门核定后报学院办公室后统一</w:t>
      </w:r>
      <w:r>
        <w:rPr>
          <w:rFonts w:hint="eastAsia" w:eastAsia="仿宋"/>
          <w:sz w:val="28"/>
          <w:szCs w:val="28"/>
        </w:rPr>
        <w:t>核拨</w:t>
      </w:r>
      <w:r>
        <w:rPr>
          <w:rFonts w:eastAsia="仿宋"/>
          <w:sz w:val="28"/>
          <w:szCs w:val="28"/>
        </w:rPr>
        <w:t>。</w:t>
      </w:r>
    </w:p>
    <w:p>
      <w:pPr>
        <w:snapToGrid w:val="0"/>
        <w:spacing w:line="600" w:lineRule="exact"/>
        <w:ind w:firstLine="560" w:firstLineChars="200"/>
        <w:rPr>
          <w:rFonts w:eastAsia="仿宋"/>
          <w:sz w:val="28"/>
          <w:szCs w:val="28"/>
        </w:rPr>
      </w:pPr>
      <w:r>
        <w:rPr>
          <w:rFonts w:eastAsia="仿宋"/>
          <w:sz w:val="28"/>
          <w:szCs w:val="28"/>
        </w:rPr>
        <w:t>五、本办法由党群工作处、学生工作处负责解释。</w:t>
      </w:r>
    </w:p>
    <w:sectPr>
      <w:footerReference r:id="rId3" w:type="default"/>
      <w:footerReference r:id="rId4" w:type="even"/>
      <w:pgSz w:w="11906" w:h="16838"/>
      <w:pgMar w:top="1418" w:right="1361" w:bottom="1418" w:left="1361"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810FF"/>
    <w:multiLevelType w:val="singleLevel"/>
    <w:tmpl w:val="970810F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xNTY4OTYxMDEzNTIyMDJiNDdhNTc2ZTRkZDE5YTkifQ=="/>
  </w:docVars>
  <w:rsids>
    <w:rsidRoot w:val="002E0306"/>
    <w:rsid w:val="000000B2"/>
    <w:rsid w:val="000003F0"/>
    <w:rsid w:val="00001D06"/>
    <w:rsid w:val="0000203D"/>
    <w:rsid w:val="00003C43"/>
    <w:rsid w:val="0000446B"/>
    <w:rsid w:val="00005A43"/>
    <w:rsid w:val="0001037F"/>
    <w:rsid w:val="000117D1"/>
    <w:rsid w:val="0001232A"/>
    <w:rsid w:val="000125D5"/>
    <w:rsid w:val="0001509B"/>
    <w:rsid w:val="0001715C"/>
    <w:rsid w:val="00017957"/>
    <w:rsid w:val="0002143A"/>
    <w:rsid w:val="000214F9"/>
    <w:rsid w:val="00024CE9"/>
    <w:rsid w:val="00024DDA"/>
    <w:rsid w:val="00024F6C"/>
    <w:rsid w:val="00025C7A"/>
    <w:rsid w:val="00027922"/>
    <w:rsid w:val="00031E03"/>
    <w:rsid w:val="0003287B"/>
    <w:rsid w:val="000335C5"/>
    <w:rsid w:val="00035915"/>
    <w:rsid w:val="000363E0"/>
    <w:rsid w:val="00037FC6"/>
    <w:rsid w:val="000423B0"/>
    <w:rsid w:val="00042821"/>
    <w:rsid w:val="00042E3D"/>
    <w:rsid w:val="000430C3"/>
    <w:rsid w:val="00043CB9"/>
    <w:rsid w:val="00044BD5"/>
    <w:rsid w:val="00044D9C"/>
    <w:rsid w:val="000508F0"/>
    <w:rsid w:val="000518DF"/>
    <w:rsid w:val="0005199C"/>
    <w:rsid w:val="00055975"/>
    <w:rsid w:val="00055BD0"/>
    <w:rsid w:val="00056ABA"/>
    <w:rsid w:val="0006030A"/>
    <w:rsid w:val="00060F48"/>
    <w:rsid w:val="0006795F"/>
    <w:rsid w:val="000679F1"/>
    <w:rsid w:val="000725E7"/>
    <w:rsid w:val="00073416"/>
    <w:rsid w:val="00073BDD"/>
    <w:rsid w:val="0007626B"/>
    <w:rsid w:val="000770AC"/>
    <w:rsid w:val="00081123"/>
    <w:rsid w:val="000832F9"/>
    <w:rsid w:val="00083E10"/>
    <w:rsid w:val="0008493A"/>
    <w:rsid w:val="00087EC4"/>
    <w:rsid w:val="000906BD"/>
    <w:rsid w:val="00091BFA"/>
    <w:rsid w:val="00092AF3"/>
    <w:rsid w:val="00092F8D"/>
    <w:rsid w:val="00093EC4"/>
    <w:rsid w:val="000969FD"/>
    <w:rsid w:val="000A145F"/>
    <w:rsid w:val="000A1A79"/>
    <w:rsid w:val="000A23E4"/>
    <w:rsid w:val="000A52AC"/>
    <w:rsid w:val="000A5D64"/>
    <w:rsid w:val="000A6EEC"/>
    <w:rsid w:val="000B00CE"/>
    <w:rsid w:val="000B0971"/>
    <w:rsid w:val="000B0D4C"/>
    <w:rsid w:val="000B1065"/>
    <w:rsid w:val="000B52EA"/>
    <w:rsid w:val="000B692F"/>
    <w:rsid w:val="000B7156"/>
    <w:rsid w:val="000B7BCE"/>
    <w:rsid w:val="000C12A0"/>
    <w:rsid w:val="000C23C0"/>
    <w:rsid w:val="000C4646"/>
    <w:rsid w:val="000D1ADB"/>
    <w:rsid w:val="000D5884"/>
    <w:rsid w:val="000D6A81"/>
    <w:rsid w:val="000E131B"/>
    <w:rsid w:val="000E27EB"/>
    <w:rsid w:val="000E560D"/>
    <w:rsid w:val="000E6827"/>
    <w:rsid w:val="000E7250"/>
    <w:rsid w:val="000F22F8"/>
    <w:rsid w:val="000F270D"/>
    <w:rsid w:val="000F4C4D"/>
    <w:rsid w:val="000F516C"/>
    <w:rsid w:val="000F539E"/>
    <w:rsid w:val="00102B5D"/>
    <w:rsid w:val="00102BED"/>
    <w:rsid w:val="001067C3"/>
    <w:rsid w:val="00106AC4"/>
    <w:rsid w:val="00106D80"/>
    <w:rsid w:val="00114C29"/>
    <w:rsid w:val="0011574C"/>
    <w:rsid w:val="001173FA"/>
    <w:rsid w:val="00117E63"/>
    <w:rsid w:val="00122F43"/>
    <w:rsid w:val="0012348C"/>
    <w:rsid w:val="001245C6"/>
    <w:rsid w:val="00124ADA"/>
    <w:rsid w:val="00125405"/>
    <w:rsid w:val="0012584C"/>
    <w:rsid w:val="001263B5"/>
    <w:rsid w:val="00126E2E"/>
    <w:rsid w:val="001275FD"/>
    <w:rsid w:val="00130B1D"/>
    <w:rsid w:val="0013456D"/>
    <w:rsid w:val="00135272"/>
    <w:rsid w:val="00136EE2"/>
    <w:rsid w:val="0013777E"/>
    <w:rsid w:val="00141865"/>
    <w:rsid w:val="001448B4"/>
    <w:rsid w:val="001514B8"/>
    <w:rsid w:val="00154261"/>
    <w:rsid w:val="00154953"/>
    <w:rsid w:val="00155C0A"/>
    <w:rsid w:val="00155E0F"/>
    <w:rsid w:val="0015695D"/>
    <w:rsid w:val="00161B6D"/>
    <w:rsid w:val="001624EB"/>
    <w:rsid w:val="001631AD"/>
    <w:rsid w:val="00165AAB"/>
    <w:rsid w:val="00165DC2"/>
    <w:rsid w:val="001712F7"/>
    <w:rsid w:val="00175F40"/>
    <w:rsid w:val="00181D4E"/>
    <w:rsid w:val="00184412"/>
    <w:rsid w:val="00184566"/>
    <w:rsid w:val="00184F48"/>
    <w:rsid w:val="001857F3"/>
    <w:rsid w:val="00185B7B"/>
    <w:rsid w:val="0019223A"/>
    <w:rsid w:val="00192324"/>
    <w:rsid w:val="00193A95"/>
    <w:rsid w:val="00197EEA"/>
    <w:rsid w:val="001A430E"/>
    <w:rsid w:val="001A704B"/>
    <w:rsid w:val="001B2B6D"/>
    <w:rsid w:val="001B591F"/>
    <w:rsid w:val="001B5B9C"/>
    <w:rsid w:val="001C041A"/>
    <w:rsid w:val="001C5A10"/>
    <w:rsid w:val="001C5A2F"/>
    <w:rsid w:val="001C619C"/>
    <w:rsid w:val="001C7078"/>
    <w:rsid w:val="001C7BD2"/>
    <w:rsid w:val="001D031E"/>
    <w:rsid w:val="001D1039"/>
    <w:rsid w:val="001D3463"/>
    <w:rsid w:val="001D56AD"/>
    <w:rsid w:val="001D73F5"/>
    <w:rsid w:val="001D7A18"/>
    <w:rsid w:val="001E1376"/>
    <w:rsid w:val="001E1E7B"/>
    <w:rsid w:val="001E2C46"/>
    <w:rsid w:val="001E3AB7"/>
    <w:rsid w:val="001E50EA"/>
    <w:rsid w:val="001E616D"/>
    <w:rsid w:val="001E7CD1"/>
    <w:rsid w:val="001F4EA1"/>
    <w:rsid w:val="00201357"/>
    <w:rsid w:val="00201618"/>
    <w:rsid w:val="0020162E"/>
    <w:rsid w:val="00203154"/>
    <w:rsid w:val="00203ADD"/>
    <w:rsid w:val="00205DDF"/>
    <w:rsid w:val="002106B1"/>
    <w:rsid w:val="002121BB"/>
    <w:rsid w:val="002124BD"/>
    <w:rsid w:val="00214C3A"/>
    <w:rsid w:val="002166CE"/>
    <w:rsid w:val="00216F7A"/>
    <w:rsid w:val="00220036"/>
    <w:rsid w:val="00220B43"/>
    <w:rsid w:val="00225215"/>
    <w:rsid w:val="00225DAE"/>
    <w:rsid w:val="0023096E"/>
    <w:rsid w:val="00233D87"/>
    <w:rsid w:val="002349FC"/>
    <w:rsid w:val="00236C71"/>
    <w:rsid w:val="002370E4"/>
    <w:rsid w:val="00237521"/>
    <w:rsid w:val="00240292"/>
    <w:rsid w:val="00241690"/>
    <w:rsid w:val="00243F11"/>
    <w:rsid w:val="00245C54"/>
    <w:rsid w:val="00246D6E"/>
    <w:rsid w:val="00246E35"/>
    <w:rsid w:val="0025122B"/>
    <w:rsid w:val="002521FD"/>
    <w:rsid w:val="00252210"/>
    <w:rsid w:val="00254F6E"/>
    <w:rsid w:val="0025603C"/>
    <w:rsid w:val="00257E76"/>
    <w:rsid w:val="00260119"/>
    <w:rsid w:val="0026083F"/>
    <w:rsid w:val="00261953"/>
    <w:rsid w:val="00263333"/>
    <w:rsid w:val="002675C6"/>
    <w:rsid w:val="002704E7"/>
    <w:rsid w:val="0027056B"/>
    <w:rsid w:val="002710A1"/>
    <w:rsid w:val="0027296C"/>
    <w:rsid w:val="00274B42"/>
    <w:rsid w:val="002759C7"/>
    <w:rsid w:val="002805F7"/>
    <w:rsid w:val="002822D1"/>
    <w:rsid w:val="00287B2C"/>
    <w:rsid w:val="00287E04"/>
    <w:rsid w:val="00295619"/>
    <w:rsid w:val="00295B04"/>
    <w:rsid w:val="00295CBA"/>
    <w:rsid w:val="002A0546"/>
    <w:rsid w:val="002A088E"/>
    <w:rsid w:val="002A11AE"/>
    <w:rsid w:val="002A20FA"/>
    <w:rsid w:val="002A58CD"/>
    <w:rsid w:val="002A73CC"/>
    <w:rsid w:val="002B0FA0"/>
    <w:rsid w:val="002B49B5"/>
    <w:rsid w:val="002B5183"/>
    <w:rsid w:val="002B530F"/>
    <w:rsid w:val="002C050F"/>
    <w:rsid w:val="002C1325"/>
    <w:rsid w:val="002C202A"/>
    <w:rsid w:val="002C3513"/>
    <w:rsid w:val="002C37F9"/>
    <w:rsid w:val="002C3879"/>
    <w:rsid w:val="002C6866"/>
    <w:rsid w:val="002C735E"/>
    <w:rsid w:val="002D078E"/>
    <w:rsid w:val="002D2A94"/>
    <w:rsid w:val="002D36B5"/>
    <w:rsid w:val="002D4605"/>
    <w:rsid w:val="002D4E8A"/>
    <w:rsid w:val="002D54B0"/>
    <w:rsid w:val="002D61D1"/>
    <w:rsid w:val="002E0306"/>
    <w:rsid w:val="002E1927"/>
    <w:rsid w:val="002E57A6"/>
    <w:rsid w:val="002E5F55"/>
    <w:rsid w:val="002F0253"/>
    <w:rsid w:val="002F0C43"/>
    <w:rsid w:val="002F1681"/>
    <w:rsid w:val="002F7C4C"/>
    <w:rsid w:val="0030240B"/>
    <w:rsid w:val="00303C15"/>
    <w:rsid w:val="00304284"/>
    <w:rsid w:val="0030457D"/>
    <w:rsid w:val="00304D42"/>
    <w:rsid w:val="003108D9"/>
    <w:rsid w:val="00311B37"/>
    <w:rsid w:val="00312D70"/>
    <w:rsid w:val="00313C3A"/>
    <w:rsid w:val="00314E15"/>
    <w:rsid w:val="003153BB"/>
    <w:rsid w:val="00315AFC"/>
    <w:rsid w:val="00317356"/>
    <w:rsid w:val="003208FD"/>
    <w:rsid w:val="00320E12"/>
    <w:rsid w:val="00321264"/>
    <w:rsid w:val="0032218D"/>
    <w:rsid w:val="00323BD6"/>
    <w:rsid w:val="00326C88"/>
    <w:rsid w:val="00330CCC"/>
    <w:rsid w:val="00333BC0"/>
    <w:rsid w:val="00333D8B"/>
    <w:rsid w:val="003345EC"/>
    <w:rsid w:val="0033503F"/>
    <w:rsid w:val="0033514E"/>
    <w:rsid w:val="00335745"/>
    <w:rsid w:val="003357B2"/>
    <w:rsid w:val="0033715D"/>
    <w:rsid w:val="00337A42"/>
    <w:rsid w:val="003413EF"/>
    <w:rsid w:val="00341D84"/>
    <w:rsid w:val="0034669D"/>
    <w:rsid w:val="00347C99"/>
    <w:rsid w:val="00352A6D"/>
    <w:rsid w:val="00354386"/>
    <w:rsid w:val="003549FC"/>
    <w:rsid w:val="00355CAE"/>
    <w:rsid w:val="00356B28"/>
    <w:rsid w:val="003579E5"/>
    <w:rsid w:val="0036009F"/>
    <w:rsid w:val="0036073B"/>
    <w:rsid w:val="00361726"/>
    <w:rsid w:val="003642AB"/>
    <w:rsid w:val="0036447F"/>
    <w:rsid w:val="0036689F"/>
    <w:rsid w:val="00366C2E"/>
    <w:rsid w:val="00370B08"/>
    <w:rsid w:val="00375258"/>
    <w:rsid w:val="00375DE3"/>
    <w:rsid w:val="00375FAD"/>
    <w:rsid w:val="00377C9C"/>
    <w:rsid w:val="0038041E"/>
    <w:rsid w:val="003808A8"/>
    <w:rsid w:val="00382670"/>
    <w:rsid w:val="00383449"/>
    <w:rsid w:val="00385CFB"/>
    <w:rsid w:val="00392EFC"/>
    <w:rsid w:val="00394646"/>
    <w:rsid w:val="003948CC"/>
    <w:rsid w:val="00394BEC"/>
    <w:rsid w:val="00396C9A"/>
    <w:rsid w:val="003972E1"/>
    <w:rsid w:val="00397356"/>
    <w:rsid w:val="00397524"/>
    <w:rsid w:val="00397C1D"/>
    <w:rsid w:val="003B08FE"/>
    <w:rsid w:val="003B0BC8"/>
    <w:rsid w:val="003B74D3"/>
    <w:rsid w:val="003C01A0"/>
    <w:rsid w:val="003C01AF"/>
    <w:rsid w:val="003C16EB"/>
    <w:rsid w:val="003C2BB1"/>
    <w:rsid w:val="003C3F39"/>
    <w:rsid w:val="003C3F90"/>
    <w:rsid w:val="003C43A5"/>
    <w:rsid w:val="003C483F"/>
    <w:rsid w:val="003C4936"/>
    <w:rsid w:val="003C664B"/>
    <w:rsid w:val="003C6A15"/>
    <w:rsid w:val="003C7899"/>
    <w:rsid w:val="003D1C50"/>
    <w:rsid w:val="003D20C7"/>
    <w:rsid w:val="003D6CA3"/>
    <w:rsid w:val="003E1CE9"/>
    <w:rsid w:val="003E21D2"/>
    <w:rsid w:val="003E4E51"/>
    <w:rsid w:val="003E6311"/>
    <w:rsid w:val="003F13C1"/>
    <w:rsid w:val="003F3921"/>
    <w:rsid w:val="003F3AF3"/>
    <w:rsid w:val="003F569C"/>
    <w:rsid w:val="003F671D"/>
    <w:rsid w:val="003F6BD9"/>
    <w:rsid w:val="003F6F02"/>
    <w:rsid w:val="00400BE7"/>
    <w:rsid w:val="00401E07"/>
    <w:rsid w:val="00403F8E"/>
    <w:rsid w:val="004048EB"/>
    <w:rsid w:val="00404941"/>
    <w:rsid w:val="00405154"/>
    <w:rsid w:val="00405BEA"/>
    <w:rsid w:val="004075EF"/>
    <w:rsid w:val="004079B4"/>
    <w:rsid w:val="0041209C"/>
    <w:rsid w:val="00413137"/>
    <w:rsid w:val="0041319A"/>
    <w:rsid w:val="00413A15"/>
    <w:rsid w:val="00415580"/>
    <w:rsid w:val="004163F7"/>
    <w:rsid w:val="0041674F"/>
    <w:rsid w:val="0043396E"/>
    <w:rsid w:val="00434C12"/>
    <w:rsid w:val="0043632A"/>
    <w:rsid w:val="00436EE7"/>
    <w:rsid w:val="0043758E"/>
    <w:rsid w:val="0043763E"/>
    <w:rsid w:val="00443B4B"/>
    <w:rsid w:val="00443E93"/>
    <w:rsid w:val="004461D5"/>
    <w:rsid w:val="0045147D"/>
    <w:rsid w:val="004523DD"/>
    <w:rsid w:val="0046092D"/>
    <w:rsid w:val="00460C6C"/>
    <w:rsid w:val="0046176B"/>
    <w:rsid w:val="00461E5E"/>
    <w:rsid w:val="0046220F"/>
    <w:rsid w:val="004626F3"/>
    <w:rsid w:val="0046478E"/>
    <w:rsid w:val="00465000"/>
    <w:rsid w:val="004650EA"/>
    <w:rsid w:val="00465D11"/>
    <w:rsid w:val="00466C48"/>
    <w:rsid w:val="004704B7"/>
    <w:rsid w:val="00470DF3"/>
    <w:rsid w:val="00471B9B"/>
    <w:rsid w:val="00472505"/>
    <w:rsid w:val="0047284D"/>
    <w:rsid w:val="00473026"/>
    <w:rsid w:val="004730E7"/>
    <w:rsid w:val="00473DA7"/>
    <w:rsid w:val="00474F15"/>
    <w:rsid w:val="0047622B"/>
    <w:rsid w:val="00476AD9"/>
    <w:rsid w:val="004828C5"/>
    <w:rsid w:val="00484F7D"/>
    <w:rsid w:val="00487DE0"/>
    <w:rsid w:val="00490BDD"/>
    <w:rsid w:val="0049257C"/>
    <w:rsid w:val="004A0350"/>
    <w:rsid w:val="004A33CC"/>
    <w:rsid w:val="004A3698"/>
    <w:rsid w:val="004A3774"/>
    <w:rsid w:val="004A3984"/>
    <w:rsid w:val="004A78D4"/>
    <w:rsid w:val="004B1764"/>
    <w:rsid w:val="004B20AB"/>
    <w:rsid w:val="004B32AD"/>
    <w:rsid w:val="004B4599"/>
    <w:rsid w:val="004B5291"/>
    <w:rsid w:val="004B55B2"/>
    <w:rsid w:val="004B6F1D"/>
    <w:rsid w:val="004C009B"/>
    <w:rsid w:val="004C2870"/>
    <w:rsid w:val="004C4D7F"/>
    <w:rsid w:val="004D0193"/>
    <w:rsid w:val="004D3AC7"/>
    <w:rsid w:val="004E1660"/>
    <w:rsid w:val="004E2D86"/>
    <w:rsid w:val="004E62BD"/>
    <w:rsid w:val="004E6727"/>
    <w:rsid w:val="004E7811"/>
    <w:rsid w:val="004F3624"/>
    <w:rsid w:val="004F3D21"/>
    <w:rsid w:val="004F62B2"/>
    <w:rsid w:val="004F6A59"/>
    <w:rsid w:val="004F7746"/>
    <w:rsid w:val="005009A7"/>
    <w:rsid w:val="00505684"/>
    <w:rsid w:val="00506F9A"/>
    <w:rsid w:val="00513366"/>
    <w:rsid w:val="00513F58"/>
    <w:rsid w:val="00514331"/>
    <w:rsid w:val="0051518D"/>
    <w:rsid w:val="0051726D"/>
    <w:rsid w:val="005224DE"/>
    <w:rsid w:val="00523A5F"/>
    <w:rsid w:val="0052511D"/>
    <w:rsid w:val="00527257"/>
    <w:rsid w:val="0052742E"/>
    <w:rsid w:val="00532C37"/>
    <w:rsid w:val="005332B9"/>
    <w:rsid w:val="00535884"/>
    <w:rsid w:val="005370AD"/>
    <w:rsid w:val="0053715B"/>
    <w:rsid w:val="00540085"/>
    <w:rsid w:val="00540637"/>
    <w:rsid w:val="005406AE"/>
    <w:rsid w:val="00540976"/>
    <w:rsid w:val="0054114C"/>
    <w:rsid w:val="00541463"/>
    <w:rsid w:val="00542B33"/>
    <w:rsid w:val="00543911"/>
    <w:rsid w:val="005449F3"/>
    <w:rsid w:val="00544DB7"/>
    <w:rsid w:val="00550944"/>
    <w:rsid w:val="00550E51"/>
    <w:rsid w:val="005514C6"/>
    <w:rsid w:val="005525A0"/>
    <w:rsid w:val="00553C9D"/>
    <w:rsid w:val="00554BAE"/>
    <w:rsid w:val="00554DD6"/>
    <w:rsid w:val="00555E5D"/>
    <w:rsid w:val="00556BC0"/>
    <w:rsid w:val="005627D0"/>
    <w:rsid w:val="00564543"/>
    <w:rsid w:val="00564BB9"/>
    <w:rsid w:val="00567430"/>
    <w:rsid w:val="00567ECB"/>
    <w:rsid w:val="00570365"/>
    <w:rsid w:val="005729F0"/>
    <w:rsid w:val="00581403"/>
    <w:rsid w:val="005831AC"/>
    <w:rsid w:val="005853A9"/>
    <w:rsid w:val="00585971"/>
    <w:rsid w:val="005917C3"/>
    <w:rsid w:val="00591F3A"/>
    <w:rsid w:val="00593076"/>
    <w:rsid w:val="00593215"/>
    <w:rsid w:val="005965D7"/>
    <w:rsid w:val="00596CD4"/>
    <w:rsid w:val="00596EBE"/>
    <w:rsid w:val="005A00F8"/>
    <w:rsid w:val="005A57D3"/>
    <w:rsid w:val="005A70F3"/>
    <w:rsid w:val="005A7A12"/>
    <w:rsid w:val="005B2BA4"/>
    <w:rsid w:val="005B3A3C"/>
    <w:rsid w:val="005B4C4F"/>
    <w:rsid w:val="005B5865"/>
    <w:rsid w:val="005B6D3D"/>
    <w:rsid w:val="005B7167"/>
    <w:rsid w:val="005C0DC9"/>
    <w:rsid w:val="005C24C0"/>
    <w:rsid w:val="005C2B12"/>
    <w:rsid w:val="005C39A7"/>
    <w:rsid w:val="005C4899"/>
    <w:rsid w:val="005D079B"/>
    <w:rsid w:val="005D3B5B"/>
    <w:rsid w:val="005D4F02"/>
    <w:rsid w:val="005D512A"/>
    <w:rsid w:val="005D52DD"/>
    <w:rsid w:val="005D6948"/>
    <w:rsid w:val="005D791D"/>
    <w:rsid w:val="005D7F09"/>
    <w:rsid w:val="005E14E7"/>
    <w:rsid w:val="005E1802"/>
    <w:rsid w:val="005E305B"/>
    <w:rsid w:val="005E34FA"/>
    <w:rsid w:val="005E381B"/>
    <w:rsid w:val="005E75AE"/>
    <w:rsid w:val="005F0A85"/>
    <w:rsid w:val="005F1185"/>
    <w:rsid w:val="005F1E27"/>
    <w:rsid w:val="005F287B"/>
    <w:rsid w:val="00600999"/>
    <w:rsid w:val="00602D71"/>
    <w:rsid w:val="006077C8"/>
    <w:rsid w:val="00607803"/>
    <w:rsid w:val="00607909"/>
    <w:rsid w:val="0061005C"/>
    <w:rsid w:val="00610B78"/>
    <w:rsid w:val="00610E6D"/>
    <w:rsid w:val="006115E4"/>
    <w:rsid w:val="00612E09"/>
    <w:rsid w:val="0062000A"/>
    <w:rsid w:val="00621AC7"/>
    <w:rsid w:val="00623850"/>
    <w:rsid w:val="00624077"/>
    <w:rsid w:val="0062436D"/>
    <w:rsid w:val="00632551"/>
    <w:rsid w:val="00635CC2"/>
    <w:rsid w:val="0063682D"/>
    <w:rsid w:val="006430C2"/>
    <w:rsid w:val="00656F99"/>
    <w:rsid w:val="00657129"/>
    <w:rsid w:val="00657309"/>
    <w:rsid w:val="00657877"/>
    <w:rsid w:val="0066130B"/>
    <w:rsid w:val="00662E38"/>
    <w:rsid w:val="00663402"/>
    <w:rsid w:val="006647E0"/>
    <w:rsid w:val="00666B3C"/>
    <w:rsid w:val="0066720C"/>
    <w:rsid w:val="00667DF8"/>
    <w:rsid w:val="00674204"/>
    <w:rsid w:val="0067636B"/>
    <w:rsid w:val="0068436D"/>
    <w:rsid w:val="0068476C"/>
    <w:rsid w:val="00687001"/>
    <w:rsid w:val="006900F7"/>
    <w:rsid w:val="006925B1"/>
    <w:rsid w:val="0069585C"/>
    <w:rsid w:val="006A37E7"/>
    <w:rsid w:val="006A39ED"/>
    <w:rsid w:val="006A3DBB"/>
    <w:rsid w:val="006A544E"/>
    <w:rsid w:val="006A70B5"/>
    <w:rsid w:val="006A7750"/>
    <w:rsid w:val="006B0097"/>
    <w:rsid w:val="006B13DA"/>
    <w:rsid w:val="006B3178"/>
    <w:rsid w:val="006B31AB"/>
    <w:rsid w:val="006B4733"/>
    <w:rsid w:val="006B78F1"/>
    <w:rsid w:val="006C0397"/>
    <w:rsid w:val="006C0F95"/>
    <w:rsid w:val="006C2F70"/>
    <w:rsid w:val="006C3129"/>
    <w:rsid w:val="006D0503"/>
    <w:rsid w:val="006D3C15"/>
    <w:rsid w:val="006D4404"/>
    <w:rsid w:val="006D66A1"/>
    <w:rsid w:val="006E2EA2"/>
    <w:rsid w:val="006E38F0"/>
    <w:rsid w:val="006E4420"/>
    <w:rsid w:val="006E4889"/>
    <w:rsid w:val="006E4A6F"/>
    <w:rsid w:val="006E523C"/>
    <w:rsid w:val="006F16F4"/>
    <w:rsid w:val="006F2B76"/>
    <w:rsid w:val="006F2BF8"/>
    <w:rsid w:val="006F44C8"/>
    <w:rsid w:val="006F551A"/>
    <w:rsid w:val="00702BB6"/>
    <w:rsid w:val="0070328B"/>
    <w:rsid w:val="0070546A"/>
    <w:rsid w:val="007056C4"/>
    <w:rsid w:val="00711BBB"/>
    <w:rsid w:val="00711C5E"/>
    <w:rsid w:val="007160B3"/>
    <w:rsid w:val="00717FDA"/>
    <w:rsid w:val="007233AC"/>
    <w:rsid w:val="00723E8C"/>
    <w:rsid w:val="00724545"/>
    <w:rsid w:val="00733CBB"/>
    <w:rsid w:val="007346FA"/>
    <w:rsid w:val="007409B9"/>
    <w:rsid w:val="00741144"/>
    <w:rsid w:val="0074650B"/>
    <w:rsid w:val="00752264"/>
    <w:rsid w:val="00753906"/>
    <w:rsid w:val="00755F46"/>
    <w:rsid w:val="00756303"/>
    <w:rsid w:val="00756EB4"/>
    <w:rsid w:val="00761F7C"/>
    <w:rsid w:val="007648CB"/>
    <w:rsid w:val="00771033"/>
    <w:rsid w:val="007714DF"/>
    <w:rsid w:val="007749B2"/>
    <w:rsid w:val="00775195"/>
    <w:rsid w:val="0077779F"/>
    <w:rsid w:val="00780458"/>
    <w:rsid w:val="00782275"/>
    <w:rsid w:val="007828FB"/>
    <w:rsid w:val="00782FE2"/>
    <w:rsid w:val="00784C6E"/>
    <w:rsid w:val="00787B4B"/>
    <w:rsid w:val="00787F10"/>
    <w:rsid w:val="00795B5F"/>
    <w:rsid w:val="007964E5"/>
    <w:rsid w:val="007A0B5F"/>
    <w:rsid w:val="007A1D26"/>
    <w:rsid w:val="007A2240"/>
    <w:rsid w:val="007A2B55"/>
    <w:rsid w:val="007A5BB7"/>
    <w:rsid w:val="007A5D3B"/>
    <w:rsid w:val="007A6D51"/>
    <w:rsid w:val="007B0BA3"/>
    <w:rsid w:val="007B28F7"/>
    <w:rsid w:val="007B2A7F"/>
    <w:rsid w:val="007B499F"/>
    <w:rsid w:val="007B5040"/>
    <w:rsid w:val="007B5142"/>
    <w:rsid w:val="007B67A9"/>
    <w:rsid w:val="007B78E3"/>
    <w:rsid w:val="007C1650"/>
    <w:rsid w:val="007C7D7B"/>
    <w:rsid w:val="007D5B85"/>
    <w:rsid w:val="007D6E3C"/>
    <w:rsid w:val="007E456A"/>
    <w:rsid w:val="007E4DA1"/>
    <w:rsid w:val="007E4F1F"/>
    <w:rsid w:val="007E4F2F"/>
    <w:rsid w:val="007E6DF3"/>
    <w:rsid w:val="007E762C"/>
    <w:rsid w:val="007E76A6"/>
    <w:rsid w:val="007E78FE"/>
    <w:rsid w:val="007F1DB7"/>
    <w:rsid w:val="007F205E"/>
    <w:rsid w:val="007F674B"/>
    <w:rsid w:val="0080106F"/>
    <w:rsid w:val="008015AF"/>
    <w:rsid w:val="00803486"/>
    <w:rsid w:val="00804344"/>
    <w:rsid w:val="0081170D"/>
    <w:rsid w:val="0081236D"/>
    <w:rsid w:val="00812520"/>
    <w:rsid w:val="00813DB0"/>
    <w:rsid w:val="0081418A"/>
    <w:rsid w:val="0081672F"/>
    <w:rsid w:val="00821C09"/>
    <w:rsid w:val="008225D6"/>
    <w:rsid w:val="0082472D"/>
    <w:rsid w:val="00825646"/>
    <w:rsid w:val="0083191B"/>
    <w:rsid w:val="00831BE5"/>
    <w:rsid w:val="00832E6F"/>
    <w:rsid w:val="00833382"/>
    <w:rsid w:val="00833AD3"/>
    <w:rsid w:val="008343D0"/>
    <w:rsid w:val="00836CA8"/>
    <w:rsid w:val="00843A77"/>
    <w:rsid w:val="0084472D"/>
    <w:rsid w:val="00845C80"/>
    <w:rsid w:val="00846BEB"/>
    <w:rsid w:val="00847AF0"/>
    <w:rsid w:val="0085098B"/>
    <w:rsid w:val="0085259C"/>
    <w:rsid w:val="0085622F"/>
    <w:rsid w:val="00856A7A"/>
    <w:rsid w:val="00857BC9"/>
    <w:rsid w:val="00863300"/>
    <w:rsid w:val="008653A5"/>
    <w:rsid w:val="00865668"/>
    <w:rsid w:val="00866B12"/>
    <w:rsid w:val="00867ABE"/>
    <w:rsid w:val="00872FB5"/>
    <w:rsid w:val="00880BE7"/>
    <w:rsid w:val="00881524"/>
    <w:rsid w:val="00881BFA"/>
    <w:rsid w:val="00884184"/>
    <w:rsid w:val="0088493A"/>
    <w:rsid w:val="00885D6F"/>
    <w:rsid w:val="008865AB"/>
    <w:rsid w:val="0089003C"/>
    <w:rsid w:val="00891398"/>
    <w:rsid w:val="00891C9F"/>
    <w:rsid w:val="00894AB0"/>
    <w:rsid w:val="00894BAE"/>
    <w:rsid w:val="00894F0D"/>
    <w:rsid w:val="00895703"/>
    <w:rsid w:val="00895C7F"/>
    <w:rsid w:val="00896AC1"/>
    <w:rsid w:val="008B01D6"/>
    <w:rsid w:val="008B073C"/>
    <w:rsid w:val="008B10EA"/>
    <w:rsid w:val="008B3285"/>
    <w:rsid w:val="008B3AE1"/>
    <w:rsid w:val="008B49C3"/>
    <w:rsid w:val="008B537C"/>
    <w:rsid w:val="008B796F"/>
    <w:rsid w:val="008C00E4"/>
    <w:rsid w:val="008C107B"/>
    <w:rsid w:val="008C3356"/>
    <w:rsid w:val="008C3CD6"/>
    <w:rsid w:val="008C4D18"/>
    <w:rsid w:val="008C4EAC"/>
    <w:rsid w:val="008C5813"/>
    <w:rsid w:val="008C5BE3"/>
    <w:rsid w:val="008C6283"/>
    <w:rsid w:val="008D05DC"/>
    <w:rsid w:val="008D1D58"/>
    <w:rsid w:val="008D1DB7"/>
    <w:rsid w:val="008E0148"/>
    <w:rsid w:val="008E0EFE"/>
    <w:rsid w:val="008E1D70"/>
    <w:rsid w:val="008E2742"/>
    <w:rsid w:val="008E4D2F"/>
    <w:rsid w:val="008E4E93"/>
    <w:rsid w:val="008E6866"/>
    <w:rsid w:val="008E68F6"/>
    <w:rsid w:val="008F11B4"/>
    <w:rsid w:val="008F1CDC"/>
    <w:rsid w:val="008F27E9"/>
    <w:rsid w:val="008F4563"/>
    <w:rsid w:val="008F531B"/>
    <w:rsid w:val="008F5D2A"/>
    <w:rsid w:val="008F6241"/>
    <w:rsid w:val="008F65A5"/>
    <w:rsid w:val="008F6F23"/>
    <w:rsid w:val="0090006F"/>
    <w:rsid w:val="00900C07"/>
    <w:rsid w:val="009016E3"/>
    <w:rsid w:val="00901EE1"/>
    <w:rsid w:val="0090310E"/>
    <w:rsid w:val="0090450F"/>
    <w:rsid w:val="009061FC"/>
    <w:rsid w:val="00906217"/>
    <w:rsid w:val="00907440"/>
    <w:rsid w:val="00910F1A"/>
    <w:rsid w:val="009114DD"/>
    <w:rsid w:val="009126BD"/>
    <w:rsid w:val="009141AF"/>
    <w:rsid w:val="0091475B"/>
    <w:rsid w:val="00914AF7"/>
    <w:rsid w:val="009162C2"/>
    <w:rsid w:val="00922EA1"/>
    <w:rsid w:val="00924B21"/>
    <w:rsid w:val="00924E2A"/>
    <w:rsid w:val="009253CD"/>
    <w:rsid w:val="009267E5"/>
    <w:rsid w:val="0092694D"/>
    <w:rsid w:val="00930205"/>
    <w:rsid w:val="0093042A"/>
    <w:rsid w:val="009304F4"/>
    <w:rsid w:val="00932A7C"/>
    <w:rsid w:val="00932C28"/>
    <w:rsid w:val="00933F3B"/>
    <w:rsid w:val="00934783"/>
    <w:rsid w:val="00936DF2"/>
    <w:rsid w:val="00941EA9"/>
    <w:rsid w:val="00944DFD"/>
    <w:rsid w:val="00945A0B"/>
    <w:rsid w:val="00946904"/>
    <w:rsid w:val="009530AE"/>
    <w:rsid w:val="00956215"/>
    <w:rsid w:val="00957835"/>
    <w:rsid w:val="009607CC"/>
    <w:rsid w:val="00962DC0"/>
    <w:rsid w:val="00964936"/>
    <w:rsid w:val="00966B07"/>
    <w:rsid w:val="00967165"/>
    <w:rsid w:val="00970712"/>
    <w:rsid w:val="00970BF1"/>
    <w:rsid w:val="009710DD"/>
    <w:rsid w:val="00974DF6"/>
    <w:rsid w:val="00976D5A"/>
    <w:rsid w:val="00977652"/>
    <w:rsid w:val="00980A2C"/>
    <w:rsid w:val="0098590E"/>
    <w:rsid w:val="00991936"/>
    <w:rsid w:val="009935F8"/>
    <w:rsid w:val="00994746"/>
    <w:rsid w:val="00995DED"/>
    <w:rsid w:val="00997488"/>
    <w:rsid w:val="00997884"/>
    <w:rsid w:val="009A2529"/>
    <w:rsid w:val="009A2E32"/>
    <w:rsid w:val="009A36A6"/>
    <w:rsid w:val="009A6812"/>
    <w:rsid w:val="009A6C7F"/>
    <w:rsid w:val="009A7DB8"/>
    <w:rsid w:val="009B006B"/>
    <w:rsid w:val="009B03FA"/>
    <w:rsid w:val="009B2789"/>
    <w:rsid w:val="009B4B61"/>
    <w:rsid w:val="009B4DDE"/>
    <w:rsid w:val="009C2739"/>
    <w:rsid w:val="009C2B45"/>
    <w:rsid w:val="009C2DDC"/>
    <w:rsid w:val="009C4DCA"/>
    <w:rsid w:val="009C6D6A"/>
    <w:rsid w:val="009C7176"/>
    <w:rsid w:val="009D0B97"/>
    <w:rsid w:val="009D1697"/>
    <w:rsid w:val="009D1A16"/>
    <w:rsid w:val="009D3A1C"/>
    <w:rsid w:val="009D52A9"/>
    <w:rsid w:val="009E3CCD"/>
    <w:rsid w:val="009E543B"/>
    <w:rsid w:val="009F3ABA"/>
    <w:rsid w:val="009F4242"/>
    <w:rsid w:val="009F6ABC"/>
    <w:rsid w:val="00A02C90"/>
    <w:rsid w:val="00A0368E"/>
    <w:rsid w:val="00A04576"/>
    <w:rsid w:val="00A06399"/>
    <w:rsid w:val="00A10642"/>
    <w:rsid w:val="00A10D88"/>
    <w:rsid w:val="00A1382E"/>
    <w:rsid w:val="00A17FEB"/>
    <w:rsid w:val="00A200C3"/>
    <w:rsid w:val="00A20608"/>
    <w:rsid w:val="00A2082C"/>
    <w:rsid w:val="00A23621"/>
    <w:rsid w:val="00A23681"/>
    <w:rsid w:val="00A26F97"/>
    <w:rsid w:val="00A27104"/>
    <w:rsid w:val="00A300E7"/>
    <w:rsid w:val="00A347A7"/>
    <w:rsid w:val="00A35DFE"/>
    <w:rsid w:val="00A40C53"/>
    <w:rsid w:val="00A43D46"/>
    <w:rsid w:val="00A45137"/>
    <w:rsid w:val="00A455A8"/>
    <w:rsid w:val="00A47735"/>
    <w:rsid w:val="00A5017C"/>
    <w:rsid w:val="00A52522"/>
    <w:rsid w:val="00A5365A"/>
    <w:rsid w:val="00A53CDF"/>
    <w:rsid w:val="00A56B63"/>
    <w:rsid w:val="00A6017B"/>
    <w:rsid w:val="00A6034C"/>
    <w:rsid w:val="00A603D4"/>
    <w:rsid w:val="00A6489B"/>
    <w:rsid w:val="00A65545"/>
    <w:rsid w:val="00A714D9"/>
    <w:rsid w:val="00A72CED"/>
    <w:rsid w:val="00A736D9"/>
    <w:rsid w:val="00A74005"/>
    <w:rsid w:val="00A75464"/>
    <w:rsid w:val="00A757A4"/>
    <w:rsid w:val="00A83E6C"/>
    <w:rsid w:val="00A84B77"/>
    <w:rsid w:val="00A87700"/>
    <w:rsid w:val="00A90209"/>
    <w:rsid w:val="00A9168C"/>
    <w:rsid w:val="00A9345D"/>
    <w:rsid w:val="00A934BE"/>
    <w:rsid w:val="00A960A3"/>
    <w:rsid w:val="00AA086A"/>
    <w:rsid w:val="00AA0878"/>
    <w:rsid w:val="00AA1251"/>
    <w:rsid w:val="00AA4C45"/>
    <w:rsid w:val="00AA4CA1"/>
    <w:rsid w:val="00AA680A"/>
    <w:rsid w:val="00AB1206"/>
    <w:rsid w:val="00AB26DB"/>
    <w:rsid w:val="00AB7383"/>
    <w:rsid w:val="00AC0BE4"/>
    <w:rsid w:val="00AC6736"/>
    <w:rsid w:val="00AC6B2E"/>
    <w:rsid w:val="00AD18EE"/>
    <w:rsid w:val="00AD2CC6"/>
    <w:rsid w:val="00AD4102"/>
    <w:rsid w:val="00AD5F76"/>
    <w:rsid w:val="00AD73FB"/>
    <w:rsid w:val="00AD7ACC"/>
    <w:rsid w:val="00AE18A9"/>
    <w:rsid w:val="00AE492C"/>
    <w:rsid w:val="00AE6DF0"/>
    <w:rsid w:val="00AE7D2D"/>
    <w:rsid w:val="00AF24D2"/>
    <w:rsid w:val="00AF2B95"/>
    <w:rsid w:val="00AF2BDA"/>
    <w:rsid w:val="00AF2C12"/>
    <w:rsid w:val="00AF4B92"/>
    <w:rsid w:val="00AF4EAB"/>
    <w:rsid w:val="00AF6706"/>
    <w:rsid w:val="00B00226"/>
    <w:rsid w:val="00B00CB2"/>
    <w:rsid w:val="00B013CA"/>
    <w:rsid w:val="00B031E2"/>
    <w:rsid w:val="00B0406B"/>
    <w:rsid w:val="00B047A2"/>
    <w:rsid w:val="00B04907"/>
    <w:rsid w:val="00B0520A"/>
    <w:rsid w:val="00B11E32"/>
    <w:rsid w:val="00B12348"/>
    <w:rsid w:val="00B127D9"/>
    <w:rsid w:val="00B16684"/>
    <w:rsid w:val="00B166F4"/>
    <w:rsid w:val="00B202E1"/>
    <w:rsid w:val="00B21EBA"/>
    <w:rsid w:val="00B22078"/>
    <w:rsid w:val="00B22CB2"/>
    <w:rsid w:val="00B27681"/>
    <w:rsid w:val="00B27908"/>
    <w:rsid w:val="00B27D22"/>
    <w:rsid w:val="00B338B6"/>
    <w:rsid w:val="00B356BB"/>
    <w:rsid w:val="00B37CD2"/>
    <w:rsid w:val="00B43E8C"/>
    <w:rsid w:val="00B456CA"/>
    <w:rsid w:val="00B45BC6"/>
    <w:rsid w:val="00B45D86"/>
    <w:rsid w:val="00B52164"/>
    <w:rsid w:val="00B540DE"/>
    <w:rsid w:val="00B577D6"/>
    <w:rsid w:val="00B57FD9"/>
    <w:rsid w:val="00B607B6"/>
    <w:rsid w:val="00B62E6B"/>
    <w:rsid w:val="00B653D5"/>
    <w:rsid w:val="00B71B39"/>
    <w:rsid w:val="00B73656"/>
    <w:rsid w:val="00B760A2"/>
    <w:rsid w:val="00B76166"/>
    <w:rsid w:val="00B76E80"/>
    <w:rsid w:val="00B77AA8"/>
    <w:rsid w:val="00B80123"/>
    <w:rsid w:val="00B8620A"/>
    <w:rsid w:val="00B8679E"/>
    <w:rsid w:val="00B87035"/>
    <w:rsid w:val="00B90485"/>
    <w:rsid w:val="00B93C22"/>
    <w:rsid w:val="00B94206"/>
    <w:rsid w:val="00B9451B"/>
    <w:rsid w:val="00B948F4"/>
    <w:rsid w:val="00B94973"/>
    <w:rsid w:val="00B94F10"/>
    <w:rsid w:val="00BA07A0"/>
    <w:rsid w:val="00BA149E"/>
    <w:rsid w:val="00BA14BE"/>
    <w:rsid w:val="00BA2B7F"/>
    <w:rsid w:val="00BA6738"/>
    <w:rsid w:val="00BA6D1A"/>
    <w:rsid w:val="00BB3414"/>
    <w:rsid w:val="00BB6A00"/>
    <w:rsid w:val="00BC0F84"/>
    <w:rsid w:val="00BC1119"/>
    <w:rsid w:val="00BC2ED4"/>
    <w:rsid w:val="00BC3717"/>
    <w:rsid w:val="00BC452A"/>
    <w:rsid w:val="00BC4BCD"/>
    <w:rsid w:val="00BC4F08"/>
    <w:rsid w:val="00BC5DD1"/>
    <w:rsid w:val="00BC60DE"/>
    <w:rsid w:val="00BC62D6"/>
    <w:rsid w:val="00BC74CE"/>
    <w:rsid w:val="00BC7F39"/>
    <w:rsid w:val="00BD0665"/>
    <w:rsid w:val="00BD3A5F"/>
    <w:rsid w:val="00BD48D5"/>
    <w:rsid w:val="00BD63A5"/>
    <w:rsid w:val="00BD6A23"/>
    <w:rsid w:val="00BD7550"/>
    <w:rsid w:val="00BE0485"/>
    <w:rsid w:val="00BE1BA0"/>
    <w:rsid w:val="00BE256A"/>
    <w:rsid w:val="00BE47C7"/>
    <w:rsid w:val="00BE6196"/>
    <w:rsid w:val="00BE77DD"/>
    <w:rsid w:val="00BF0FCA"/>
    <w:rsid w:val="00BF12C2"/>
    <w:rsid w:val="00BF1F22"/>
    <w:rsid w:val="00BF4220"/>
    <w:rsid w:val="00BF51B6"/>
    <w:rsid w:val="00C009AD"/>
    <w:rsid w:val="00C02E50"/>
    <w:rsid w:val="00C05D10"/>
    <w:rsid w:val="00C07404"/>
    <w:rsid w:val="00C1159A"/>
    <w:rsid w:val="00C11AA3"/>
    <w:rsid w:val="00C122DB"/>
    <w:rsid w:val="00C12732"/>
    <w:rsid w:val="00C12965"/>
    <w:rsid w:val="00C15B65"/>
    <w:rsid w:val="00C16934"/>
    <w:rsid w:val="00C1721A"/>
    <w:rsid w:val="00C1769B"/>
    <w:rsid w:val="00C2128C"/>
    <w:rsid w:val="00C22B67"/>
    <w:rsid w:val="00C25FE2"/>
    <w:rsid w:val="00C27E09"/>
    <w:rsid w:val="00C322C9"/>
    <w:rsid w:val="00C334F9"/>
    <w:rsid w:val="00C3725E"/>
    <w:rsid w:val="00C37ED3"/>
    <w:rsid w:val="00C424D3"/>
    <w:rsid w:val="00C440FF"/>
    <w:rsid w:val="00C45479"/>
    <w:rsid w:val="00C459EF"/>
    <w:rsid w:val="00C45FF7"/>
    <w:rsid w:val="00C466A8"/>
    <w:rsid w:val="00C4709F"/>
    <w:rsid w:val="00C472DC"/>
    <w:rsid w:val="00C51F5C"/>
    <w:rsid w:val="00C51FA7"/>
    <w:rsid w:val="00C54045"/>
    <w:rsid w:val="00C5504E"/>
    <w:rsid w:val="00C551BC"/>
    <w:rsid w:val="00C55B07"/>
    <w:rsid w:val="00C55EB8"/>
    <w:rsid w:val="00C577DA"/>
    <w:rsid w:val="00C61BB2"/>
    <w:rsid w:val="00C61E69"/>
    <w:rsid w:val="00C635F4"/>
    <w:rsid w:val="00C645B5"/>
    <w:rsid w:val="00C658DF"/>
    <w:rsid w:val="00C65B58"/>
    <w:rsid w:val="00C66848"/>
    <w:rsid w:val="00C672CA"/>
    <w:rsid w:val="00C71C76"/>
    <w:rsid w:val="00C72168"/>
    <w:rsid w:val="00C7330E"/>
    <w:rsid w:val="00C75A8A"/>
    <w:rsid w:val="00C76D27"/>
    <w:rsid w:val="00C80241"/>
    <w:rsid w:val="00C84FB9"/>
    <w:rsid w:val="00C850E1"/>
    <w:rsid w:val="00C86BF5"/>
    <w:rsid w:val="00C87619"/>
    <w:rsid w:val="00C9230A"/>
    <w:rsid w:val="00C928CE"/>
    <w:rsid w:val="00C93AA4"/>
    <w:rsid w:val="00C9612C"/>
    <w:rsid w:val="00C9767A"/>
    <w:rsid w:val="00CA0995"/>
    <w:rsid w:val="00CA0E60"/>
    <w:rsid w:val="00CA480C"/>
    <w:rsid w:val="00CA5991"/>
    <w:rsid w:val="00CA605D"/>
    <w:rsid w:val="00CA7288"/>
    <w:rsid w:val="00CA7767"/>
    <w:rsid w:val="00CB0C03"/>
    <w:rsid w:val="00CB1EA8"/>
    <w:rsid w:val="00CB23F3"/>
    <w:rsid w:val="00CB51DC"/>
    <w:rsid w:val="00CB7050"/>
    <w:rsid w:val="00CB7997"/>
    <w:rsid w:val="00CB7C12"/>
    <w:rsid w:val="00CC41A1"/>
    <w:rsid w:val="00CC4644"/>
    <w:rsid w:val="00CD0698"/>
    <w:rsid w:val="00CD0F3F"/>
    <w:rsid w:val="00CD5234"/>
    <w:rsid w:val="00CD6DA9"/>
    <w:rsid w:val="00CE213B"/>
    <w:rsid w:val="00CE3DB3"/>
    <w:rsid w:val="00CE5555"/>
    <w:rsid w:val="00CE5573"/>
    <w:rsid w:val="00CE6E6B"/>
    <w:rsid w:val="00CE770C"/>
    <w:rsid w:val="00CF0C82"/>
    <w:rsid w:val="00CF260B"/>
    <w:rsid w:val="00CF342B"/>
    <w:rsid w:val="00CF6793"/>
    <w:rsid w:val="00D00437"/>
    <w:rsid w:val="00D007C2"/>
    <w:rsid w:val="00D0423A"/>
    <w:rsid w:val="00D04957"/>
    <w:rsid w:val="00D0547B"/>
    <w:rsid w:val="00D0585A"/>
    <w:rsid w:val="00D11EE8"/>
    <w:rsid w:val="00D14B9B"/>
    <w:rsid w:val="00D16B26"/>
    <w:rsid w:val="00D16FC8"/>
    <w:rsid w:val="00D174A0"/>
    <w:rsid w:val="00D23430"/>
    <w:rsid w:val="00D235F1"/>
    <w:rsid w:val="00D31699"/>
    <w:rsid w:val="00D325CA"/>
    <w:rsid w:val="00D3611A"/>
    <w:rsid w:val="00D407F3"/>
    <w:rsid w:val="00D43BA0"/>
    <w:rsid w:val="00D43CDA"/>
    <w:rsid w:val="00D456BF"/>
    <w:rsid w:val="00D539EE"/>
    <w:rsid w:val="00D53A68"/>
    <w:rsid w:val="00D617FB"/>
    <w:rsid w:val="00D61AD3"/>
    <w:rsid w:val="00D63E87"/>
    <w:rsid w:val="00D66AC7"/>
    <w:rsid w:val="00D66D3C"/>
    <w:rsid w:val="00D70D0D"/>
    <w:rsid w:val="00D71176"/>
    <w:rsid w:val="00D7463C"/>
    <w:rsid w:val="00D74B51"/>
    <w:rsid w:val="00D765D4"/>
    <w:rsid w:val="00D77329"/>
    <w:rsid w:val="00D77499"/>
    <w:rsid w:val="00D8390A"/>
    <w:rsid w:val="00D8533F"/>
    <w:rsid w:val="00D853BB"/>
    <w:rsid w:val="00D85F2B"/>
    <w:rsid w:val="00D87AF0"/>
    <w:rsid w:val="00D87F74"/>
    <w:rsid w:val="00D91660"/>
    <w:rsid w:val="00D937C6"/>
    <w:rsid w:val="00D93A2D"/>
    <w:rsid w:val="00D95D4B"/>
    <w:rsid w:val="00D963B9"/>
    <w:rsid w:val="00D97C33"/>
    <w:rsid w:val="00DA0E0A"/>
    <w:rsid w:val="00DA0F83"/>
    <w:rsid w:val="00DA171C"/>
    <w:rsid w:val="00DA24B1"/>
    <w:rsid w:val="00DA2AB8"/>
    <w:rsid w:val="00DA42EF"/>
    <w:rsid w:val="00DB104E"/>
    <w:rsid w:val="00DB144C"/>
    <w:rsid w:val="00DB1D96"/>
    <w:rsid w:val="00DB2357"/>
    <w:rsid w:val="00DB253F"/>
    <w:rsid w:val="00DB3FEF"/>
    <w:rsid w:val="00DB4C1B"/>
    <w:rsid w:val="00DB7F90"/>
    <w:rsid w:val="00DC0B77"/>
    <w:rsid w:val="00DC0CEE"/>
    <w:rsid w:val="00DC4645"/>
    <w:rsid w:val="00DC607B"/>
    <w:rsid w:val="00DC7487"/>
    <w:rsid w:val="00DD0702"/>
    <w:rsid w:val="00DD272A"/>
    <w:rsid w:val="00DD2E78"/>
    <w:rsid w:val="00DD4406"/>
    <w:rsid w:val="00DD7428"/>
    <w:rsid w:val="00DD76A0"/>
    <w:rsid w:val="00DE0F52"/>
    <w:rsid w:val="00DE24D5"/>
    <w:rsid w:val="00DE4AB8"/>
    <w:rsid w:val="00DF1F94"/>
    <w:rsid w:val="00DF3016"/>
    <w:rsid w:val="00DF67AC"/>
    <w:rsid w:val="00DF6933"/>
    <w:rsid w:val="00DF6F91"/>
    <w:rsid w:val="00DF7755"/>
    <w:rsid w:val="00E00386"/>
    <w:rsid w:val="00E0536E"/>
    <w:rsid w:val="00E07B7A"/>
    <w:rsid w:val="00E1100F"/>
    <w:rsid w:val="00E11AC4"/>
    <w:rsid w:val="00E127EA"/>
    <w:rsid w:val="00E14388"/>
    <w:rsid w:val="00E15366"/>
    <w:rsid w:val="00E15635"/>
    <w:rsid w:val="00E15CAE"/>
    <w:rsid w:val="00E17B72"/>
    <w:rsid w:val="00E234DF"/>
    <w:rsid w:val="00E23E41"/>
    <w:rsid w:val="00E24C93"/>
    <w:rsid w:val="00E316BE"/>
    <w:rsid w:val="00E355AD"/>
    <w:rsid w:val="00E35918"/>
    <w:rsid w:val="00E36BCE"/>
    <w:rsid w:val="00E36D63"/>
    <w:rsid w:val="00E407B9"/>
    <w:rsid w:val="00E43C85"/>
    <w:rsid w:val="00E44C3D"/>
    <w:rsid w:val="00E457D8"/>
    <w:rsid w:val="00E46540"/>
    <w:rsid w:val="00E5097F"/>
    <w:rsid w:val="00E53C21"/>
    <w:rsid w:val="00E55962"/>
    <w:rsid w:val="00E60084"/>
    <w:rsid w:val="00E61B8C"/>
    <w:rsid w:val="00E61E24"/>
    <w:rsid w:val="00E61E95"/>
    <w:rsid w:val="00E62368"/>
    <w:rsid w:val="00E64895"/>
    <w:rsid w:val="00E65288"/>
    <w:rsid w:val="00E719D8"/>
    <w:rsid w:val="00E72C02"/>
    <w:rsid w:val="00E73D9B"/>
    <w:rsid w:val="00E75D25"/>
    <w:rsid w:val="00E76FA2"/>
    <w:rsid w:val="00E84686"/>
    <w:rsid w:val="00E855A1"/>
    <w:rsid w:val="00E85CA8"/>
    <w:rsid w:val="00E903FE"/>
    <w:rsid w:val="00E922CE"/>
    <w:rsid w:val="00E931A6"/>
    <w:rsid w:val="00E9455E"/>
    <w:rsid w:val="00E9512B"/>
    <w:rsid w:val="00E955B7"/>
    <w:rsid w:val="00E962A1"/>
    <w:rsid w:val="00E969DA"/>
    <w:rsid w:val="00E97825"/>
    <w:rsid w:val="00E97D9D"/>
    <w:rsid w:val="00EA3932"/>
    <w:rsid w:val="00EA3AA1"/>
    <w:rsid w:val="00EA43D6"/>
    <w:rsid w:val="00EA4A30"/>
    <w:rsid w:val="00EB18DB"/>
    <w:rsid w:val="00EB3034"/>
    <w:rsid w:val="00EB3C1A"/>
    <w:rsid w:val="00EB6A8A"/>
    <w:rsid w:val="00EB7668"/>
    <w:rsid w:val="00EB781A"/>
    <w:rsid w:val="00EC2A42"/>
    <w:rsid w:val="00EC302B"/>
    <w:rsid w:val="00EC3A94"/>
    <w:rsid w:val="00EC4D2F"/>
    <w:rsid w:val="00EC527D"/>
    <w:rsid w:val="00EC7D6F"/>
    <w:rsid w:val="00ED2957"/>
    <w:rsid w:val="00ED4AB7"/>
    <w:rsid w:val="00ED4EC8"/>
    <w:rsid w:val="00ED5ECC"/>
    <w:rsid w:val="00ED5FAB"/>
    <w:rsid w:val="00ED727F"/>
    <w:rsid w:val="00ED7E5A"/>
    <w:rsid w:val="00EE484D"/>
    <w:rsid w:val="00EE729F"/>
    <w:rsid w:val="00EF070B"/>
    <w:rsid w:val="00EF0961"/>
    <w:rsid w:val="00EF102E"/>
    <w:rsid w:val="00EF2041"/>
    <w:rsid w:val="00EF20AD"/>
    <w:rsid w:val="00EF3394"/>
    <w:rsid w:val="00EF4D49"/>
    <w:rsid w:val="00EF685A"/>
    <w:rsid w:val="00EF7B81"/>
    <w:rsid w:val="00F004B0"/>
    <w:rsid w:val="00F00C3F"/>
    <w:rsid w:val="00F0224B"/>
    <w:rsid w:val="00F04684"/>
    <w:rsid w:val="00F04C2F"/>
    <w:rsid w:val="00F06B4B"/>
    <w:rsid w:val="00F07AB5"/>
    <w:rsid w:val="00F1238F"/>
    <w:rsid w:val="00F129B5"/>
    <w:rsid w:val="00F14299"/>
    <w:rsid w:val="00F15A58"/>
    <w:rsid w:val="00F2070D"/>
    <w:rsid w:val="00F21504"/>
    <w:rsid w:val="00F2163D"/>
    <w:rsid w:val="00F21B44"/>
    <w:rsid w:val="00F25431"/>
    <w:rsid w:val="00F26879"/>
    <w:rsid w:val="00F26E3B"/>
    <w:rsid w:val="00F2778E"/>
    <w:rsid w:val="00F3076D"/>
    <w:rsid w:val="00F35281"/>
    <w:rsid w:val="00F365D4"/>
    <w:rsid w:val="00F42982"/>
    <w:rsid w:val="00F42A4D"/>
    <w:rsid w:val="00F4444E"/>
    <w:rsid w:val="00F44F61"/>
    <w:rsid w:val="00F454CB"/>
    <w:rsid w:val="00F45F2F"/>
    <w:rsid w:val="00F46CB3"/>
    <w:rsid w:val="00F51026"/>
    <w:rsid w:val="00F53413"/>
    <w:rsid w:val="00F53CA4"/>
    <w:rsid w:val="00F5410D"/>
    <w:rsid w:val="00F56B5A"/>
    <w:rsid w:val="00F60AC6"/>
    <w:rsid w:val="00F617D8"/>
    <w:rsid w:val="00F63E1C"/>
    <w:rsid w:val="00F64D7C"/>
    <w:rsid w:val="00F64DFD"/>
    <w:rsid w:val="00F678A7"/>
    <w:rsid w:val="00F704A8"/>
    <w:rsid w:val="00F719C7"/>
    <w:rsid w:val="00F71C59"/>
    <w:rsid w:val="00F742DA"/>
    <w:rsid w:val="00F74ACE"/>
    <w:rsid w:val="00F76597"/>
    <w:rsid w:val="00F81EC1"/>
    <w:rsid w:val="00F83CCE"/>
    <w:rsid w:val="00F84F37"/>
    <w:rsid w:val="00F85089"/>
    <w:rsid w:val="00F851FA"/>
    <w:rsid w:val="00F90AC9"/>
    <w:rsid w:val="00F91A8A"/>
    <w:rsid w:val="00F940BB"/>
    <w:rsid w:val="00F96324"/>
    <w:rsid w:val="00FA0448"/>
    <w:rsid w:val="00FA0913"/>
    <w:rsid w:val="00FA3791"/>
    <w:rsid w:val="00FA5BC3"/>
    <w:rsid w:val="00FA7A53"/>
    <w:rsid w:val="00FB3967"/>
    <w:rsid w:val="00FB3B0B"/>
    <w:rsid w:val="00FB3D48"/>
    <w:rsid w:val="00FB6818"/>
    <w:rsid w:val="00FC027C"/>
    <w:rsid w:val="00FC0F53"/>
    <w:rsid w:val="00FC1473"/>
    <w:rsid w:val="00FC148B"/>
    <w:rsid w:val="00FC1D8E"/>
    <w:rsid w:val="00FC204A"/>
    <w:rsid w:val="00FC4FCA"/>
    <w:rsid w:val="00FC7B65"/>
    <w:rsid w:val="00FD036D"/>
    <w:rsid w:val="00FD0438"/>
    <w:rsid w:val="00FD115E"/>
    <w:rsid w:val="00FD1C5D"/>
    <w:rsid w:val="00FD1D5C"/>
    <w:rsid w:val="00FD3A4B"/>
    <w:rsid w:val="00FD7B60"/>
    <w:rsid w:val="00FE0152"/>
    <w:rsid w:val="00FE0A60"/>
    <w:rsid w:val="00FE2434"/>
    <w:rsid w:val="00FE4D13"/>
    <w:rsid w:val="00FF015A"/>
    <w:rsid w:val="00FF4311"/>
    <w:rsid w:val="00FF5F7A"/>
    <w:rsid w:val="00FF7BB4"/>
    <w:rsid w:val="017D43BA"/>
    <w:rsid w:val="01CC026F"/>
    <w:rsid w:val="02C4280C"/>
    <w:rsid w:val="03475BCA"/>
    <w:rsid w:val="037E4FBC"/>
    <w:rsid w:val="03947BA6"/>
    <w:rsid w:val="04024F27"/>
    <w:rsid w:val="04B435C4"/>
    <w:rsid w:val="050F525C"/>
    <w:rsid w:val="067F3525"/>
    <w:rsid w:val="07B87A2E"/>
    <w:rsid w:val="08B475F9"/>
    <w:rsid w:val="0ACF3DEB"/>
    <w:rsid w:val="0B182672"/>
    <w:rsid w:val="0C69182A"/>
    <w:rsid w:val="0CB32D77"/>
    <w:rsid w:val="0D0227BA"/>
    <w:rsid w:val="0D50388E"/>
    <w:rsid w:val="0E596BA5"/>
    <w:rsid w:val="10102A21"/>
    <w:rsid w:val="1046495F"/>
    <w:rsid w:val="10572E1C"/>
    <w:rsid w:val="10716932"/>
    <w:rsid w:val="115A3D4D"/>
    <w:rsid w:val="116C45D0"/>
    <w:rsid w:val="12AB01DD"/>
    <w:rsid w:val="13B029C8"/>
    <w:rsid w:val="155845F3"/>
    <w:rsid w:val="16821A9E"/>
    <w:rsid w:val="18C13DF2"/>
    <w:rsid w:val="19FD294D"/>
    <w:rsid w:val="1A1A5E6C"/>
    <w:rsid w:val="1B2B0CE1"/>
    <w:rsid w:val="1C8956D6"/>
    <w:rsid w:val="1CE97F3E"/>
    <w:rsid w:val="1E054A23"/>
    <w:rsid w:val="1E3A7C8D"/>
    <w:rsid w:val="1EB678A8"/>
    <w:rsid w:val="1FD05DE9"/>
    <w:rsid w:val="202D2326"/>
    <w:rsid w:val="20FC63BF"/>
    <w:rsid w:val="22435110"/>
    <w:rsid w:val="239A501A"/>
    <w:rsid w:val="23DD324E"/>
    <w:rsid w:val="24310A60"/>
    <w:rsid w:val="25F55057"/>
    <w:rsid w:val="28EC187E"/>
    <w:rsid w:val="2B1568B7"/>
    <w:rsid w:val="2BD24103"/>
    <w:rsid w:val="2CC1447A"/>
    <w:rsid w:val="2D5F27B8"/>
    <w:rsid w:val="2F805865"/>
    <w:rsid w:val="31F63E01"/>
    <w:rsid w:val="320F0A98"/>
    <w:rsid w:val="347E02AD"/>
    <w:rsid w:val="35024C59"/>
    <w:rsid w:val="358024B2"/>
    <w:rsid w:val="37AD17E4"/>
    <w:rsid w:val="380A2C11"/>
    <w:rsid w:val="38E938DF"/>
    <w:rsid w:val="3A537D47"/>
    <w:rsid w:val="3A6F7AE4"/>
    <w:rsid w:val="3A7B43C3"/>
    <w:rsid w:val="3B854CEC"/>
    <w:rsid w:val="3BAB4BE3"/>
    <w:rsid w:val="3C3C7E5D"/>
    <w:rsid w:val="3DBF3F3E"/>
    <w:rsid w:val="3DC212F8"/>
    <w:rsid w:val="3F171845"/>
    <w:rsid w:val="3F2B709E"/>
    <w:rsid w:val="3F2D31FC"/>
    <w:rsid w:val="3F787F6B"/>
    <w:rsid w:val="4052335B"/>
    <w:rsid w:val="416469CB"/>
    <w:rsid w:val="42835B0A"/>
    <w:rsid w:val="44223781"/>
    <w:rsid w:val="44E332CB"/>
    <w:rsid w:val="44F4460D"/>
    <w:rsid w:val="45061985"/>
    <w:rsid w:val="451C7BB5"/>
    <w:rsid w:val="45910525"/>
    <w:rsid w:val="46BF5FED"/>
    <w:rsid w:val="4795559C"/>
    <w:rsid w:val="4A097AD2"/>
    <w:rsid w:val="4B0A3C13"/>
    <w:rsid w:val="4B234980"/>
    <w:rsid w:val="4C82231B"/>
    <w:rsid w:val="4CFB74F4"/>
    <w:rsid w:val="4D345A67"/>
    <w:rsid w:val="4D530C6D"/>
    <w:rsid w:val="4F9F185A"/>
    <w:rsid w:val="4FDA4A71"/>
    <w:rsid w:val="506F3B54"/>
    <w:rsid w:val="50D43B60"/>
    <w:rsid w:val="517D5E7F"/>
    <w:rsid w:val="52C61160"/>
    <w:rsid w:val="540000E8"/>
    <w:rsid w:val="54810EC5"/>
    <w:rsid w:val="564A6F83"/>
    <w:rsid w:val="59BA6CB3"/>
    <w:rsid w:val="5A6A06C9"/>
    <w:rsid w:val="5A943DB0"/>
    <w:rsid w:val="5D75228F"/>
    <w:rsid w:val="5DA46216"/>
    <w:rsid w:val="5EDA221B"/>
    <w:rsid w:val="5F526591"/>
    <w:rsid w:val="6017311A"/>
    <w:rsid w:val="609A5B1C"/>
    <w:rsid w:val="61F32928"/>
    <w:rsid w:val="62175D0A"/>
    <w:rsid w:val="64D44922"/>
    <w:rsid w:val="64DD2A65"/>
    <w:rsid w:val="66160E0A"/>
    <w:rsid w:val="680D2697"/>
    <w:rsid w:val="685A6856"/>
    <w:rsid w:val="68FC709E"/>
    <w:rsid w:val="69416E0A"/>
    <w:rsid w:val="69981C02"/>
    <w:rsid w:val="6A797617"/>
    <w:rsid w:val="6AD65FA8"/>
    <w:rsid w:val="6B2664CE"/>
    <w:rsid w:val="6D1045D5"/>
    <w:rsid w:val="6E06225D"/>
    <w:rsid w:val="6F0025C6"/>
    <w:rsid w:val="729B6301"/>
    <w:rsid w:val="72CC551D"/>
    <w:rsid w:val="73121DCB"/>
    <w:rsid w:val="73EF526A"/>
    <w:rsid w:val="74BE3F46"/>
    <w:rsid w:val="755E78D7"/>
    <w:rsid w:val="75687A7A"/>
    <w:rsid w:val="76321284"/>
    <w:rsid w:val="776205E4"/>
    <w:rsid w:val="77885094"/>
    <w:rsid w:val="793524FC"/>
    <w:rsid w:val="7A5C63A9"/>
    <w:rsid w:val="7CB13917"/>
    <w:rsid w:val="7D853842"/>
    <w:rsid w:val="7D9F7E5C"/>
    <w:rsid w:val="7DD86068"/>
    <w:rsid w:val="7DDF73F6"/>
    <w:rsid w:val="7DE64286"/>
    <w:rsid w:val="7F966C81"/>
    <w:rsid w:val="7FBD06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autoRedefine/>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line="360" w:lineRule="auto"/>
      <w:ind w:firstLine="480" w:firstLineChars="200"/>
    </w:pPr>
    <w:rPr>
      <w:rFonts w:eastAsia="楷体_GB2312"/>
      <w:sz w:val="24"/>
    </w:rPr>
  </w:style>
  <w:style w:type="paragraph" w:styleId="5">
    <w:name w:val="Date"/>
    <w:basedOn w:val="1"/>
    <w:next w:val="1"/>
    <w:link w:val="19"/>
    <w:semiHidden/>
    <w:unhideWhenUsed/>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autoRedefine/>
    <w:semiHidden/>
    <w:qFormat/>
    <w:uiPriority w:val="0"/>
    <w:rPr>
      <w:b/>
      <w:bCs/>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22"/>
    <w:rPr>
      <w:b/>
      <w:bCs/>
    </w:rPr>
  </w:style>
  <w:style w:type="character" w:styleId="15">
    <w:name w:val="page number"/>
    <w:basedOn w:val="13"/>
    <w:autoRedefine/>
    <w:qFormat/>
    <w:uiPriority w:val="0"/>
  </w:style>
  <w:style w:type="character" w:styleId="16">
    <w:name w:val="annotation reference"/>
    <w:basedOn w:val="13"/>
    <w:autoRedefine/>
    <w:semiHidden/>
    <w:qFormat/>
    <w:uiPriority w:val="0"/>
    <w:rPr>
      <w:sz w:val="21"/>
      <w:szCs w:val="21"/>
    </w:rPr>
  </w:style>
  <w:style w:type="paragraph" w:styleId="17">
    <w:name w:val="List Paragraph"/>
    <w:basedOn w:val="1"/>
    <w:autoRedefine/>
    <w:qFormat/>
    <w:uiPriority w:val="34"/>
    <w:pPr>
      <w:ind w:firstLine="420" w:firstLineChars="200"/>
    </w:pPr>
  </w:style>
  <w:style w:type="character" w:customStyle="1" w:styleId="18">
    <w:name w:val="标题 1 字符"/>
    <w:basedOn w:val="13"/>
    <w:link w:val="2"/>
    <w:autoRedefine/>
    <w:qFormat/>
    <w:uiPriority w:val="0"/>
    <w:rPr>
      <w:b/>
      <w:bCs/>
      <w:kern w:val="44"/>
      <w:sz w:val="44"/>
      <w:szCs w:val="44"/>
    </w:rPr>
  </w:style>
  <w:style w:type="character" w:customStyle="1" w:styleId="19">
    <w:name w:val="日期 字符"/>
    <w:basedOn w:val="13"/>
    <w:link w:val="5"/>
    <w:autoRedefine/>
    <w:semiHidden/>
    <w:qFormat/>
    <w:uiPriority w:val="0"/>
    <w:rPr>
      <w:kern w:val="2"/>
      <w:sz w:val="21"/>
      <w:szCs w:val="24"/>
    </w:rPr>
  </w:style>
  <w:style w:type="paragraph" w:customStyle="1" w:styleId="20">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21">
    <w:name w:val="font11"/>
    <w:basedOn w:val="13"/>
    <w:autoRedefine/>
    <w:qFormat/>
    <w:uiPriority w:val="0"/>
    <w:rPr>
      <w:rFonts w:hint="eastAsia" w:ascii="仿宋" w:hAnsi="仿宋" w:eastAsia="仿宋" w:cs="仿宋"/>
      <w:color w:val="000000"/>
      <w:sz w:val="26"/>
      <w:szCs w:val="26"/>
      <w:u w:val="none"/>
    </w:rPr>
  </w:style>
  <w:style w:type="character" w:customStyle="1" w:styleId="22">
    <w:name w:val="font21"/>
    <w:basedOn w:val="13"/>
    <w:autoRedefine/>
    <w:qFormat/>
    <w:uiPriority w:val="0"/>
    <w:rPr>
      <w:rFonts w:hint="default" w:ascii="Times New Roman" w:hAnsi="Times New Roman" w:cs="Times New Roman"/>
      <w:color w:val="000000"/>
      <w:sz w:val="26"/>
      <w:szCs w:val="26"/>
      <w:u w:val="none"/>
    </w:rPr>
  </w:style>
  <w:style w:type="character" w:customStyle="1" w:styleId="23">
    <w:name w:val="font51"/>
    <w:basedOn w:val="13"/>
    <w:autoRedefine/>
    <w:qFormat/>
    <w:uiPriority w:val="0"/>
    <w:rPr>
      <w:rFonts w:hint="eastAsia" w:ascii="宋体" w:hAnsi="宋体" w:eastAsia="宋体" w:cs="宋体"/>
      <w:color w:val="333333"/>
      <w:sz w:val="26"/>
      <w:szCs w:val="26"/>
      <w:u w:val="none"/>
    </w:rPr>
  </w:style>
  <w:style w:type="character" w:customStyle="1" w:styleId="24">
    <w:name w:val="font61"/>
    <w:basedOn w:val="13"/>
    <w:autoRedefine/>
    <w:qFormat/>
    <w:uiPriority w:val="0"/>
    <w:rPr>
      <w:rFonts w:ascii="Arial" w:hAnsi="Arial" w:cs="Arial"/>
      <w:color w:val="333333"/>
      <w:sz w:val="26"/>
      <w:szCs w:val="2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1B322-FA9A-453A-91EB-F6820DE058F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1519</Words>
  <Characters>8664</Characters>
  <Lines>72</Lines>
  <Paragraphs>20</Paragraphs>
  <TotalTime>96</TotalTime>
  <ScaleCrop>false</ScaleCrop>
  <LinksUpToDate>false</LinksUpToDate>
  <CharactersWithSpaces>10163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2019-12-26T01:18:00Z</dcterms:created>
  <dc:creator>Microsoft</dc:creator>
  <cp:lastModifiedBy>奈小良</cp:lastModifiedBy>
  <cp:lastPrinted>2023-12-26T05:00:00Z</cp:lastPrinted>
  <dcterms:modified xsi:type="dcterms:W3CDTF">2024-01-11T14:00:06Z</dcterms:modified>
  <dc:title>南通大学杏林学院2015年奖励性绩效工资实施方案</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695BAEAA46DC4AACB5277CCDBDAF115C_13</vt:lpwstr>
  </property>
</Properties>
</file>